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color w:val="000000"/>
          <w:sz w:val="52"/>
          <w:szCs w:val="52"/>
        </w:rPr>
      </w:pPr>
      <w:r>
        <w:rPr>
          <w:rFonts w:hint="eastAsia" w:ascii="方正小标宋简体" w:hAnsi="宋体" w:eastAsia="方正小标宋简体" w:cs="宋体"/>
          <w:b/>
          <w:bCs/>
          <w:color w:val="000000"/>
          <w:sz w:val="52"/>
          <w:szCs w:val="52"/>
        </w:rPr>
        <w:t>目  录</w:t>
      </w:r>
    </w:p>
    <w:p>
      <w:pPr>
        <w:rPr>
          <w:rFonts w:hint="eastAsia" w:ascii="方正粗黑宋简体" w:hAnsi="方正粗黑宋简体" w:eastAsia="方正粗黑宋简体" w:cs="宋体"/>
          <w:b/>
          <w:bCs/>
          <w:color w:val="000000"/>
          <w:sz w:val="28"/>
          <w:szCs w:val="28"/>
        </w:rPr>
      </w:pPr>
      <w:r>
        <w:rPr>
          <w:rFonts w:hint="eastAsia" w:ascii="方正粗黑宋简体" w:hAnsi="方正粗黑宋简体" w:eastAsia="方正粗黑宋简体" w:cs="宋体"/>
          <w:b/>
          <w:bCs/>
          <w:color w:val="000000"/>
          <w:sz w:val="28"/>
          <w:szCs w:val="28"/>
        </w:rPr>
        <w:t>一、法律法规</w:t>
      </w:r>
    </w:p>
    <w:p>
      <w:pPr>
        <w:rPr>
          <w:rFonts w:hint="eastAsia" w:ascii="宋体" w:hAnsi="宋体" w:cs="宋体"/>
        </w:rPr>
      </w:pPr>
      <w:r>
        <w:rPr>
          <w:rFonts w:hint="eastAsia" w:ascii="宋体" w:hAnsi="宋体" w:cs="宋体"/>
        </w:rPr>
        <w:t>1.《财政违法行为处罚处分条例》   中华人民共和国国务院令第427号[2004]</w:t>
      </w:r>
    </w:p>
    <w:p>
      <w:pPr>
        <w:rPr>
          <w:rFonts w:hint="eastAsia" w:ascii="宋体" w:hAnsi="宋体" w:cs="宋体"/>
        </w:rPr>
      </w:pPr>
      <w:r>
        <w:rPr>
          <w:rFonts w:hint="eastAsia" w:ascii="宋体" w:hAnsi="宋体" w:cs="宋体"/>
        </w:rPr>
        <w:t xml:space="preserve">2.《中华人民共和国企业国有资产法》   </w:t>
      </w:r>
      <w:r>
        <w:fldChar w:fldCharType="begin"/>
      </w:r>
      <w:r>
        <w:instrText xml:space="preserve"> HYPERLINK "https://baike.baidu.com/item/%E7%AC%AC%E5%8D%81%E4%B8%80%E5%B1%8A%E5%85%A8%E5%9B%BD%E4%BA%BA%E6%B0%91%E4%BB%A3%E8%A1%A8%E5%A4%A7%E4%BC%9A%E5%B8%B8%E5%8A%A1%E5%A7%94%E5%91%98%E4%BC%9A/6741678" \t "_blank" </w:instrText>
      </w:r>
      <w:r>
        <w:fldChar w:fldCharType="separate"/>
      </w:r>
      <w:r>
        <w:t>第十一届全国人民代表大会常务委员会</w:t>
      </w:r>
      <w:r>
        <w:fldChar w:fldCharType="end"/>
      </w:r>
      <w:r>
        <w:rPr>
          <w:rFonts w:ascii="宋体" w:hAnsi="宋体" w:cs="宋体"/>
        </w:rPr>
        <w:t>第五次会议通过</w:t>
      </w:r>
      <w:r>
        <w:rPr>
          <w:rFonts w:hint="eastAsia" w:ascii="宋体" w:hAnsi="宋体" w:cs="宋体"/>
        </w:rPr>
        <w:t>[2008]</w:t>
      </w:r>
    </w:p>
    <w:p>
      <w:pPr>
        <w:rPr>
          <w:rFonts w:hint="eastAsia" w:ascii="宋体" w:hAnsi="宋体" w:cs="宋体"/>
        </w:rPr>
      </w:pPr>
      <w:r>
        <w:rPr>
          <w:rFonts w:hint="eastAsia" w:ascii="宋体" w:hAnsi="宋体" w:cs="宋体"/>
        </w:rPr>
        <w:t>3.《中华人民共和国会计法》   第十二届全国人民代表大会常务委员会第三十次会议第二次修正 [2017]</w:t>
      </w:r>
    </w:p>
    <w:p>
      <w:pPr>
        <w:rPr>
          <w:rFonts w:hint="eastAsia" w:ascii="宋体" w:hAnsi="宋体" w:cs="宋体"/>
        </w:rPr>
      </w:pPr>
      <w:r>
        <w:rPr>
          <w:rFonts w:hint="eastAsia" w:ascii="宋体" w:hAnsi="宋体" w:cs="宋体"/>
        </w:rPr>
        <w:t>4.《中华人民共和国公司法》   第十三届全国人民代表大会常务委员会第六次会议第四次修正[</w:t>
      </w:r>
      <w:r>
        <w:rPr>
          <w:rFonts w:ascii="宋体" w:hAnsi="宋体" w:cs="宋体"/>
        </w:rPr>
        <w:t>20</w:t>
      </w:r>
      <w:r>
        <w:rPr>
          <w:rFonts w:hint="eastAsia" w:ascii="宋体" w:hAnsi="宋体" w:cs="宋体"/>
        </w:rPr>
        <w:t>18]</w:t>
      </w:r>
    </w:p>
    <w:p>
      <w:pPr>
        <w:rPr>
          <w:rFonts w:hint="eastAsia" w:ascii="宋体" w:hAnsi="宋体" w:cs="宋体"/>
        </w:rPr>
      </w:pPr>
      <w:r>
        <w:rPr>
          <w:rFonts w:hint="eastAsia" w:ascii="宋体" w:hAnsi="宋体" w:cs="宋体"/>
        </w:rPr>
        <w:t>5.《中华人民共和国预算法》   第十三届全国人民代表大会常务委员会第七次会议第二次修正[</w:t>
      </w:r>
      <w:r>
        <w:rPr>
          <w:rFonts w:ascii="宋体" w:hAnsi="宋体" w:cs="宋体"/>
        </w:rPr>
        <w:t>20</w:t>
      </w:r>
      <w:r>
        <w:rPr>
          <w:rFonts w:hint="eastAsia" w:ascii="宋体" w:hAnsi="宋体" w:cs="宋体"/>
        </w:rPr>
        <w:t>18]</w:t>
      </w:r>
    </w:p>
    <w:p>
      <w:pPr>
        <w:rPr>
          <w:rFonts w:hint="eastAsia" w:ascii="宋体" w:hAnsi="宋体" w:cs="宋体"/>
        </w:rPr>
      </w:pPr>
      <w:r>
        <w:rPr>
          <w:rFonts w:hint="eastAsia" w:ascii="宋体" w:hAnsi="宋体" w:cs="宋体"/>
        </w:rPr>
        <w:t>6.《机关团体建设楼堂馆所管理条例》   中华人民共和国国务院令第688号[</w:t>
      </w:r>
      <w:r>
        <w:rPr>
          <w:rFonts w:ascii="宋体" w:hAnsi="宋体" w:cs="宋体"/>
        </w:rPr>
        <w:t>2017</w:t>
      </w:r>
      <w:r>
        <w:rPr>
          <w:rFonts w:hint="eastAsia" w:ascii="宋体" w:hAnsi="宋体" w:cs="宋体"/>
        </w:rPr>
        <w:t>]</w:t>
      </w:r>
    </w:p>
    <w:p>
      <w:pPr>
        <w:rPr>
          <w:rFonts w:hint="eastAsia" w:ascii="宋体" w:hAnsi="宋体" w:cs="宋体"/>
        </w:rPr>
      </w:pPr>
      <w:r>
        <w:rPr>
          <w:rFonts w:hint="eastAsia" w:ascii="宋体" w:hAnsi="宋体" w:cs="宋体"/>
        </w:rPr>
        <w:t>7. 《中华人民共和国预算法实施条例》   中华人民共和国国务院令第729号[</w:t>
      </w:r>
      <w:r>
        <w:rPr>
          <w:rFonts w:ascii="宋体" w:hAnsi="宋体" w:cs="宋体"/>
        </w:rPr>
        <w:t>20</w:t>
      </w:r>
      <w:r>
        <w:rPr>
          <w:rFonts w:hint="eastAsia" w:ascii="宋体" w:hAnsi="宋体" w:cs="宋体"/>
        </w:rPr>
        <w:t>20]</w:t>
      </w:r>
    </w:p>
    <w:p>
      <w:pPr>
        <w:rPr>
          <w:rFonts w:hint="eastAsia" w:ascii="宋体" w:hAnsi="宋体" w:cs="宋体"/>
        </w:rPr>
      </w:pPr>
      <w:r>
        <w:rPr>
          <w:rFonts w:hint="eastAsia" w:ascii="宋体" w:hAnsi="宋体" w:cs="宋体"/>
        </w:rPr>
        <w:t xml:space="preserve">8. 《中华人民共和国专利法》   </w:t>
      </w:r>
      <w:r>
        <w:rPr>
          <w:rFonts w:ascii="宋体" w:hAnsi="宋体" w:cs="宋体"/>
        </w:rPr>
        <w:t>第十三届全国人民代表大会常务委员会第二十二次会议第四次修正</w:t>
      </w:r>
      <w:r>
        <w:rPr>
          <w:rFonts w:hint="eastAsia" w:ascii="宋体" w:hAnsi="宋体" w:cs="宋体"/>
        </w:rPr>
        <w:t>[</w:t>
      </w:r>
      <w:r>
        <w:rPr>
          <w:rFonts w:ascii="宋体" w:hAnsi="宋体" w:cs="宋体"/>
        </w:rPr>
        <w:t>20</w:t>
      </w:r>
      <w:r>
        <w:rPr>
          <w:rFonts w:hint="eastAsia" w:ascii="宋体" w:hAnsi="宋体" w:cs="宋体"/>
        </w:rPr>
        <w:t>20]</w:t>
      </w:r>
    </w:p>
    <w:p>
      <w:pPr>
        <w:rPr>
          <w:rFonts w:hint="eastAsia" w:ascii="宋体" w:hAnsi="宋体" w:cs="宋体"/>
        </w:rPr>
      </w:pPr>
      <w:r>
        <w:rPr>
          <w:rFonts w:hint="eastAsia" w:ascii="宋体" w:hAnsi="宋体" w:cs="宋体"/>
        </w:rPr>
        <w:t>9. 《行政事业性国有资产管理条例》   中华人民共和国国务院令第738号[</w:t>
      </w:r>
      <w:r>
        <w:rPr>
          <w:rFonts w:ascii="宋体" w:hAnsi="宋体" w:cs="宋体"/>
        </w:rPr>
        <w:t>20</w:t>
      </w:r>
      <w:r>
        <w:rPr>
          <w:rFonts w:hint="eastAsia" w:ascii="宋体" w:hAnsi="宋体" w:cs="宋体"/>
        </w:rPr>
        <w:t>21]</w:t>
      </w:r>
    </w:p>
    <w:p>
      <w:pPr>
        <w:rPr>
          <w:rFonts w:hint="eastAsia" w:ascii="宋体" w:hAnsi="宋体" w:cs="宋体"/>
        </w:rPr>
      </w:pPr>
      <w:r>
        <w:rPr>
          <w:rFonts w:hint="eastAsia" w:ascii="宋体" w:hAnsi="宋体" w:cs="宋体"/>
        </w:rPr>
        <w:t>10.关于进一步深化预算管理制度改革的意见   国发[</w:t>
      </w:r>
      <w:r>
        <w:rPr>
          <w:rFonts w:ascii="宋体" w:hAnsi="宋体" w:cs="宋体"/>
        </w:rPr>
        <w:t>20</w:t>
      </w:r>
      <w:r>
        <w:rPr>
          <w:rFonts w:hint="eastAsia" w:ascii="宋体" w:hAnsi="宋体" w:cs="宋体"/>
        </w:rPr>
        <w:t>21]5号</w:t>
      </w:r>
    </w:p>
    <w:p>
      <w:pPr>
        <w:rPr>
          <w:rFonts w:hint="eastAsia" w:ascii="方正粗黑宋简体" w:hAnsi="方正粗黑宋简体" w:eastAsia="方正粗黑宋简体" w:cs="宋体"/>
          <w:b/>
          <w:bCs/>
          <w:color w:val="000000"/>
          <w:sz w:val="28"/>
          <w:szCs w:val="28"/>
        </w:rPr>
      </w:pPr>
      <w:r>
        <w:rPr>
          <w:rFonts w:hint="eastAsia" w:ascii="方正粗黑宋简体" w:hAnsi="方正粗黑宋简体" w:eastAsia="方正粗黑宋简体" w:cs="宋体"/>
          <w:b/>
          <w:bCs/>
          <w:color w:val="000000"/>
          <w:sz w:val="28"/>
          <w:szCs w:val="28"/>
        </w:rPr>
        <w:t>二、政府规章</w:t>
      </w:r>
    </w:p>
    <w:p>
      <w:pPr>
        <w:rPr>
          <w:rFonts w:hint="eastAsia" w:ascii="楷体" w:hAnsi="楷体" w:eastAsia="楷体" w:cs="宋体"/>
          <w:b/>
          <w:bCs/>
          <w:sz w:val="24"/>
        </w:rPr>
      </w:pPr>
      <w:r>
        <w:rPr>
          <w:rFonts w:hint="eastAsia" w:ascii="楷体" w:hAnsi="楷体" w:eastAsia="楷体" w:cs="宋体"/>
          <w:b/>
          <w:bCs/>
          <w:sz w:val="24"/>
        </w:rPr>
        <w:t>（一）事业国有资产管理</w:t>
      </w:r>
    </w:p>
    <w:p>
      <w:pPr>
        <w:rPr>
          <w:rFonts w:hint="eastAsia" w:ascii="宋体" w:hAnsi="宋体" w:cs="宋体"/>
        </w:rPr>
      </w:pPr>
      <w:r>
        <w:rPr>
          <w:rFonts w:hint="eastAsia" w:ascii="宋体" w:hAnsi="宋体" w:cs="宋体"/>
        </w:rPr>
        <w:t>1.国务院关于改革和完善国有资产管理体制的若干意见   [</w:t>
      </w:r>
      <w:r>
        <w:rPr>
          <w:rFonts w:ascii="宋体" w:hAnsi="宋体" w:cs="宋体"/>
        </w:rPr>
        <w:t>2015</w:t>
      </w:r>
      <w:r>
        <w:rPr>
          <w:rFonts w:hint="eastAsia" w:ascii="宋体" w:hAnsi="宋体" w:cs="宋体"/>
        </w:rPr>
        <w:t>]</w:t>
      </w:r>
    </w:p>
    <w:p>
      <w:pPr>
        <w:rPr>
          <w:rFonts w:hint="eastAsia" w:ascii="宋体" w:hAnsi="宋体" w:cs="宋体"/>
        </w:rPr>
      </w:pPr>
      <w:r>
        <w:rPr>
          <w:rFonts w:hint="eastAsia" w:ascii="宋体" w:hAnsi="宋体" w:cs="宋体"/>
        </w:rPr>
        <w:t>2.《事业单位国有资产管理暂行办法》   财政部令第100号 [</w:t>
      </w:r>
      <w:r>
        <w:rPr>
          <w:rFonts w:ascii="宋体" w:hAnsi="宋体" w:cs="宋体"/>
        </w:rPr>
        <w:t>20</w:t>
      </w:r>
      <w:r>
        <w:rPr>
          <w:rFonts w:hint="eastAsia" w:ascii="宋体" w:hAnsi="宋体" w:cs="宋体"/>
        </w:rPr>
        <w:t>19]</w:t>
      </w:r>
    </w:p>
    <w:p>
      <w:pPr>
        <w:rPr>
          <w:rFonts w:hint="eastAsia" w:ascii="宋体" w:hAnsi="宋体" w:cs="宋体"/>
        </w:rPr>
      </w:pPr>
      <w:r>
        <w:rPr>
          <w:rFonts w:hint="eastAsia" w:ascii="宋体" w:hAnsi="宋体" w:cs="宋体"/>
        </w:rPr>
        <w:t>3.关于进一步加强和改进行政事业单位国有资产管理工作的通知   财资 [</w:t>
      </w:r>
      <w:r>
        <w:rPr>
          <w:rFonts w:ascii="宋体" w:hAnsi="宋体" w:cs="宋体"/>
        </w:rPr>
        <w:t>20</w:t>
      </w:r>
      <w:r>
        <w:rPr>
          <w:rFonts w:hint="eastAsia" w:ascii="宋体" w:hAnsi="宋体" w:cs="宋体"/>
        </w:rPr>
        <w:t>18] 108号</w:t>
      </w:r>
    </w:p>
    <w:p>
      <w:pPr>
        <w:rPr>
          <w:rFonts w:hint="eastAsia" w:ascii="宋体" w:hAnsi="宋体" w:cs="宋体"/>
        </w:rPr>
      </w:pPr>
      <w:r>
        <w:rPr>
          <w:rFonts w:hint="eastAsia" w:ascii="宋体" w:hAnsi="宋体" w:cs="宋体"/>
        </w:rPr>
        <w:t>4.</w:t>
      </w:r>
      <w:r>
        <w:rPr>
          <w:rFonts w:ascii="宋体" w:hAnsi="宋体" w:cs="宋体"/>
        </w:rPr>
        <w:t>转发</w:t>
      </w:r>
      <w:r>
        <w:rPr>
          <w:rFonts w:hint="eastAsia" w:ascii="宋体" w:hAnsi="宋体" w:cs="宋体"/>
        </w:rPr>
        <w:t>《</w:t>
      </w:r>
      <w:r>
        <w:rPr>
          <w:rFonts w:ascii="宋体" w:hAnsi="宋体" w:cs="宋体"/>
        </w:rPr>
        <w:t>财政部关于进一步加强和改进行政</w:t>
      </w:r>
      <w:r>
        <w:rPr>
          <w:rFonts w:hint="eastAsia" w:ascii="宋体" w:hAnsi="宋体" w:cs="宋体"/>
        </w:rPr>
        <w:t>事</w:t>
      </w:r>
      <w:r>
        <w:rPr>
          <w:rFonts w:ascii="宋体" w:hAnsi="宋体" w:cs="宋体"/>
        </w:rPr>
        <w:t>业单位国有资产管理工作的通知</w:t>
      </w:r>
      <w:r>
        <w:rPr>
          <w:rFonts w:hint="eastAsia" w:ascii="宋体" w:hAnsi="宋体" w:cs="宋体"/>
        </w:rPr>
        <w:t>》</w:t>
      </w:r>
      <w:r>
        <w:rPr>
          <w:rFonts w:ascii="宋体" w:hAnsi="宋体" w:cs="宋体"/>
        </w:rPr>
        <w:t>的通知</w:t>
      </w:r>
      <w:r>
        <w:rPr>
          <w:rFonts w:hint="eastAsia" w:ascii="宋体" w:hAnsi="宋体" w:cs="宋体"/>
        </w:rPr>
        <w:t xml:space="preserve">   </w:t>
      </w:r>
      <w:r>
        <w:rPr>
          <w:rFonts w:ascii="宋体" w:hAnsi="宋体" w:cs="宋体"/>
        </w:rPr>
        <w:t>鲁财资</w:t>
      </w:r>
      <w:r>
        <w:rPr>
          <w:rFonts w:hint="eastAsia" w:ascii="宋体" w:hAnsi="宋体" w:cs="宋体"/>
        </w:rPr>
        <w:t xml:space="preserve"> [</w:t>
      </w:r>
      <w:r>
        <w:rPr>
          <w:rFonts w:ascii="宋体" w:hAnsi="宋体" w:cs="宋体"/>
        </w:rPr>
        <w:t>20</w:t>
      </w:r>
      <w:r>
        <w:rPr>
          <w:rFonts w:hint="eastAsia" w:ascii="宋体" w:hAnsi="宋体" w:cs="宋体"/>
        </w:rPr>
        <w:t>19]</w:t>
      </w:r>
      <w:r>
        <w:rPr>
          <w:rFonts w:ascii="宋体" w:hAnsi="宋体" w:cs="宋体"/>
        </w:rPr>
        <w:t xml:space="preserve"> 9 号</w:t>
      </w:r>
    </w:p>
    <w:p>
      <w:pPr>
        <w:rPr>
          <w:rFonts w:hint="eastAsia" w:ascii="宋体" w:hAnsi="宋体" w:cs="宋体"/>
        </w:rPr>
      </w:pPr>
      <w:r>
        <w:rPr>
          <w:rFonts w:hint="eastAsia" w:ascii="宋体" w:hAnsi="宋体" w:cs="宋体"/>
        </w:rPr>
        <w:t>5.关于加强行政事业单位固定资产管理的通知   财政部 [</w:t>
      </w:r>
      <w:r>
        <w:rPr>
          <w:rFonts w:ascii="宋体" w:hAnsi="宋体" w:cs="宋体"/>
        </w:rPr>
        <w:t>20</w:t>
      </w:r>
      <w:r>
        <w:rPr>
          <w:rFonts w:hint="eastAsia" w:ascii="宋体" w:hAnsi="宋体" w:cs="宋体"/>
        </w:rPr>
        <w:t xml:space="preserve">20] </w:t>
      </w:r>
      <w:r>
        <w:rPr>
          <w:rFonts w:ascii="宋体" w:hAnsi="宋体" w:cs="宋体"/>
        </w:rPr>
        <w:t xml:space="preserve">97 </w:t>
      </w:r>
      <w:r>
        <w:rPr>
          <w:rFonts w:hint="eastAsia" w:ascii="宋体" w:hAnsi="宋体" w:cs="宋体"/>
        </w:rPr>
        <w:t xml:space="preserve">号 </w:t>
      </w:r>
    </w:p>
    <w:p>
      <w:pPr>
        <w:rPr>
          <w:rFonts w:hint="eastAsia" w:ascii="宋体" w:hAnsi="宋体" w:cs="宋体"/>
        </w:rPr>
      </w:pPr>
      <w:r>
        <w:rPr>
          <w:rFonts w:hint="eastAsia" w:ascii="宋体" w:hAnsi="宋体" w:cs="宋体"/>
        </w:rPr>
        <w:t>6.</w:t>
      </w:r>
      <w:r>
        <w:rPr>
          <w:rFonts w:hint="eastAsia"/>
        </w:rPr>
        <w:t xml:space="preserve"> </w:t>
      </w:r>
      <w:r>
        <w:rPr>
          <w:rFonts w:hint="eastAsia" w:ascii="宋体" w:hAnsi="宋体" w:cs="宋体"/>
        </w:rPr>
        <w:t xml:space="preserve">山东省财政厅关于印发山东省省级政府公物仓管理暂行办法的通知   </w:t>
      </w:r>
      <w:r>
        <w:rPr>
          <w:rFonts w:hint="eastAsia" w:ascii="宋体" w:hAnsi="宋体" w:cs="宋体"/>
          <w:bCs/>
          <w:iCs/>
          <w:lang w:bidi="zh-CN"/>
        </w:rPr>
        <w:t>鲁财资 [2020]</w:t>
      </w:r>
      <w:r>
        <w:rPr>
          <w:rFonts w:hint="eastAsia" w:ascii="宋体" w:hAnsi="宋体" w:cs="宋体"/>
        </w:rPr>
        <w:t xml:space="preserve"> </w:t>
      </w:r>
      <w:r>
        <w:rPr>
          <w:rFonts w:hint="eastAsia" w:ascii="宋体" w:hAnsi="宋体" w:cs="宋体"/>
          <w:bCs/>
          <w:iCs/>
          <w:lang w:bidi="zh-CN"/>
        </w:rPr>
        <w:t>35 号</w:t>
      </w:r>
    </w:p>
    <w:p>
      <w:pPr>
        <w:rPr>
          <w:rFonts w:hint="eastAsia" w:ascii="宋体" w:hAnsi="宋体" w:cs="宋体"/>
        </w:rPr>
      </w:pPr>
      <w:r>
        <w:rPr>
          <w:rFonts w:hint="eastAsia" w:ascii="宋体" w:hAnsi="宋体" w:cs="宋体"/>
        </w:rPr>
        <w:t>7.《国有文物资源资产管理暂行办法》   财资〔2021〕84号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 xml:space="preserve">（二）事业资产配置管理 </w:t>
      </w:r>
    </w:p>
    <w:p>
      <w:pPr>
        <w:rPr>
          <w:rFonts w:hint="eastAsia" w:ascii="宋体" w:hAnsi="宋体" w:cs="宋体"/>
        </w:rPr>
      </w:pPr>
      <w:r>
        <w:rPr>
          <w:rFonts w:hint="eastAsia" w:ascii="宋体" w:hAnsi="宋体" w:cs="宋体"/>
        </w:rPr>
        <w:t xml:space="preserve">1.关于印发《山东省省级行政事业单位通用资产配置标准》的通知   </w:t>
      </w:r>
      <w:r>
        <w:rPr>
          <w:rFonts w:ascii="宋体" w:hAnsi="宋体" w:cs="宋体"/>
        </w:rPr>
        <w:t>鲁财资</w:t>
      </w:r>
      <w:r>
        <w:rPr>
          <w:rFonts w:hint="eastAsia" w:ascii="宋体" w:hAnsi="宋体" w:cs="宋体"/>
        </w:rPr>
        <w:t xml:space="preserve"> [</w:t>
      </w:r>
      <w:r>
        <w:rPr>
          <w:rFonts w:ascii="宋体" w:hAnsi="宋体" w:cs="宋体"/>
        </w:rPr>
        <w:t>20</w:t>
      </w:r>
      <w:r>
        <w:rPr>
          <w:rFonts w:hint="eastAsia" w:ascii="宋体" w:hAnsi="宋体" w:cs="宋体"/>
        </w:rPr>
        <w:t>19]</w:t>
      </w:r>
      <w:r>
        <w:rPr>
          <w:rFonts w:ascii="宋体" w:hAnsi="宋体" w:cs="宋体"/>
        </w:rPr>
        <w:t xml:space="preserve"> </w:t>
      </w:r>
      <w:r>
        <w:rPr>
          <w:rFonts w:hint="eastAsia" w:ascii="宋体" w:hAnsi="宋体" w:cs="宋体"/>
        </w:rPr>
        <w:t>39</w:t>
      </w:r>
      <w:r>
        <w:rPr>
          <w:rFonts w:ascii="宋体" w:hAnsi="宋体" w:cs="宋体"/>
        </w:rPr>
        <w:t>号</w:t>
      </w:r>
    </w:p>
    <w:p>
      <w:pPr>
        <w:rPr>
          <w:rFonts w:hint="eastAsia" w:ascii="宋体" w:hAnsi="宋体" w:cs="宋体"/>
        </w:rPr>
      </w:pPr>
      <w:r>
        <w:rPr>
          <w:rFonts w:hint="eastAsia" w:ascii="宋体" w:hAnsi="宋体" w:cs="宋体"/>
        </w:rPr>
        <w:t>2.关于进一步加大授权力度 促进科技成果转化的通知   财资〔2019〕57号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（三）事业资产有偿使用</w:t>
      </w:r>
      <w:bookmarkStart w:id="22" w:name="_GoBack"/>
      <w:bookmarkEnd w:id="22"/>
      <w:r>
        <w:rPr>
          <w:rFonts w:hint="eastAsia" w:ascii="楷体" w:hAnsi="楷体" w:eastAsia="楷体" w:cs="宋体"/>
          <w:b/>
          <w:bCs/>
          <w:sz w:val="24"/>
        </w:rPr>
        <w:t>管理</w:t>
      </w:r>
    </w:p>
    <w:p>
      <w:pPr>
        <w:rPr>
          <w:rFonts w:hint="eastAsia" w:ascii="宋体" w:hAnsi="宋体" w:cs="宋体"/>
          <w:bCs/>
          <w:iCs/>
          <w:lang w:bidi="zh-CN"/>
        </w:rPr>
      </w:pPr>
      <w:r>
        <w:rPr>
          <w:rFonts w:hint="eastAsia" w:ascii="宋体" w:hAnsi="宋体" w:cs="宋体"/>
          <w:bCs/>
          <w:iCs/>
          <w:lang w:bidi="zh-CN"/>
        </w:rPr>
        <w:t>1.《山东省行政事业单位国有资产收入收缴管理暂行办法》   鲁财资 [2010]</w:t>
      </w:r>
      <w:r>
        <w:rPr>
          <w:rFonts w:hint="eastAsia" w:ascii="宋体" w:hAnsi="宋体" w:cs="宋体"/>
        </w:rPr>
        <w:t xml:space="preserve"> </w:t>
      </w:r>
      <w:r>
        <w:rPr>
          <w:rFonts w:hint="eastAsia" w:ascii="宋体" w:hAnsi="宋体" w:cs="宋体"/>
          <w:bCs/>
          <w:iCs/>
          <w:lang w:bidi="zh-CN"/>
        </w:rPr>
        <w:t>51 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（四）事业资产处置管理</w:t>
      </w:r>
    </w:p>
    <w:p>
      <w:pPr>
        <w:rPr>
          <w:rFonts w:hint="eastAsia" w:ascii="宋体" w:hAnsi="宋体" w:cs="宋体"/>
        </w:rPr>
      </w:pPr>
      <w:r>
        <w:rPr>
          <w:rFonts w:hint="eastAsia" w:ascii="宋体" w:hAnsi="宋体" w:cs="宋体"/>
        </w:rPr>
        <w:t>1.关于调整省直公共机构废旧商品备案回收企业的通知   鲁事管办发 [</w:t>
      </w:r>
      <w:r>
        <w:rPr>
          <w:rFonts w:ascii="宋体" w:hAnsi="宋体" w:cs="宋体"/>
        </w:rPr>
        <w:t>201</w:t>
      </w:r>
      <w:r>
        <w:rPr>
          <w:rFonts w:hint="eastAsia" w:ascii="宋体" w:hAnsi="宋体" w:cs="宋体"/>
        </w:rPr>
        <w:t>6] 95号</w:t>
      </w:r>
    </w:p>
    <w:p>
      <w:pPr>
        <w:rPr>
          <w:rFonts w:hint="eastAsia" w:ascii="宋体" w:hAnsi="宋体" w:cs="宋体"/>
        </w:rPr>
      </w:pPr>
      <w:r>
        <w:rPr>
          <w:rFonts w:hint="eastAsia" w:ascii="宋体" w:hAnsi="宋体" w:cs="宋体"/>
        </w:rPr>
        <w:t>2.</w:t>
      </w:r>
      <w:r>
        <w:rPr>
          <w:rFonts w:ascii="宋体" w:hAnsi="宋体" w:cs="宋体"/>
        </w:rPr>
        <w:t>关于印发</w:t>
      </w:r>
      <w:r>
        <w:rPr>
          <w:rFonts w:hint="eastAsia" w:ascii="宋体" w:hAnsi="宋体" w:cs="宋体"/>
        </w:rPr>
        <w:t>《</w:t>
      </w:r>
      <w:r>
        <w:rPr>
          <w:rFonts w:ascii="宋体" w:hAnsi="宋体" w:cs="宋体"/>
        </w:rPr>
        <w:t>山东省省级行政事业国有资产处置管理办法</w:t>
      </w:r>
      <w:r>
        <w:rPr>
          <w:rFonts w:hint="eastAsia" w:ascii="宋体" w:hAnsi="宋体" w:cs="宋体"/>
        </w:rPr>
        <w:t>》</w:t>
      </w:r>
      <w:r>
        <w:rPr>
          <w:rFonts w:ascii="宋体" w:hAnsi="宋体" w:cs="宋体"/>
        </w:rPr>
        <w:t>的通</w:t>
      </w:r>
      <w:r>
        <w:rPr>
          <w:rFonts w:hint="eastAsia" w:ascii="宋体" w:hAnsi="宋体" w:cs="宋体"/>
        </w:rPr>
        <w:t xml:space="preserve">知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7]</w:t>
      </w:r>
      <w:r>
        <w:rPr>
          <w:rFonts w:ascii="宋体" w:hAnsi="宋体" w:cs="宋体"/>
        </w:rPr>
        <w:t xml:space="preserve"> 36号</w:t>
      </w:r>
    </w:p>
    <w:p>
      <w:pPr>
        <w:rPr>
          <w:rFonts w:hint="eastAsia" w:ascii="宋体" w:hAnsi="宋体" w:cs="宋体"/>
        </w:rPr>
      </w:pPr>
      <w:r>
        <w:rPr>
          <w:rFonts w:hint="eastAsia" w:ascii="宋体" w:hAnsi="宋体" w:cs="宋体"/>
        </w:rPr>
        <w:t>3.关于明确行政事业资产转增国家资本金办理流程的通知   鲁财资 [</w:t>
      </w:r>
      <w:r>
        <w:rPr>
          <w:rFonts w:ascii="宋体" w:hAnsi="宋体" w:cs="宋体"/>
        </w:rPr>
        <w:t>201</w:t>
      </w:r>
      <w:r>
        <w:rPr>
          <w:rFonts w:hint="eastAsia" w:ascii="宋体" w:hAnsi="宋体" w:cs="宋体"/>
        </w:rPr>
        <w:t>7] 92号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（五）事业资产评估管理</w:t>
      </w:r>
    </w:p>
    <w:p>
      <w:pPr>
        <w:rPr>
          <w:rFonts w:hint="eastAsia" w:ascii="宋体" w:hAnsi="宋体" w:cs="宋体"/>
        </w:rPr>
      </w:pPr>
      <w:r>
        <w:rPr>
          <w:rFonts w:hint="eastAsia" w:ascii="宋体" w:hAnsi="宋体" w:cs="宋体"/>
        </w:rPr>
        <w:t>1.财政部关于《国有资产评估管理办法（公开征求意见稿）》向社会公开征求意见的通知[</w:t>
      </w:r>
      <w:r>
        <w:rPr>
          <w:rFonts w:ascii="宋体" w:hAnsi="宋体" w:cs="宋体"/>
        </w:rPr>
        <w:t>2020</w:t>
      </w:r>
      <w:r>
        <w:rPr>
          <w:rFonts w:hint="eastAsia" w:ascii="宋体" w:hAnsi="宋体" w:cs="宋体"/>
        </w:rPr>
        <w:t>]</w:t>
      </w:r>
    </w:p>
    <w:p>
      <w:pPr>
        <w:rPr>
          <w:rFonts w:hint="eastAsia" w:ascii="楷体" w:hAnsi="楷体" w:eastAsia="楷体" w:cs="宋体"/>
          <w:b/>
          <w:bCs/>
          <w:sz w:val="24"/>
        </w:rPr>
      </w:pPr>
      <w:r>
        <w:rPr>
          <w:rFonts w:hint="eastAsia" w:ascii="楷体" w:hAnsi="楷体" w:eastAsia="楷体" w:cs="宋体"/>
          <w:b/>
          <w:bCs/>
          <w:sz w:val="24"/>
        </w:rPr>
        <w:t>（六）事业资产清查核实</w:t>
      </w:r>
    </w:p>
    <w:p>
      <w:pPr>
        <w:rPr>
          <w:rFonts w:hint="eastAsia" w:ascii="宋体" w:hAnsi="宋体" w:cs="宋体"/>
        </w:rPr>
      </w:pPr>
      <w:r>
        <w:rPr>
          <w:rFonts w:hint="eastAsia" w:ascii="宋体" w:hAnsi="宋体" w:cs="宋体"/>
        </w:rPr>
        <w:t>1.</w:t>
      </w:r>
      <w:r>
        <w:rPr>
          <w:rFonts w:ascii="宋体" w:hAnsi="宋体" w:cs="宋体"/>
        </w:rPr>
        <w:t>关于印发</w:t>
      </w:r>
      <w:r>
        <w:rPr>
          <w:rFonts w:hint="eastAsia" w:ascii="宋体" w:hAnsi="宋体" w:cs="宋体"/>
        </w:rPr>
        <w:t>《</w:t>
      </w:r>
      <w:r>
        <w:rPr>
          <w:rFonts w:ascii="宋体" w:hAnsi="宋体" w:cs="宋体"/>
        </w:rPr>
        <w:t>行政</w:t>
      </w:r>
      <w:r>
        <w:rPr>
          <w:rFonts w:hint="eastAsia" w:ascii="宋体" w:hAnsi="宋体" w:cs="宋体"/>
        </w:rPr>
        <w:t>事</w:t>
      </w:r>
      <w:r>
        <w:rPr>
          <w:rFonts w:ascii="宋体" w:hAnsi="宋体" w:cs="宋体"/>
        </w:rPr>
        <w:t>业单位资产清查核实管理办法</w:t>
      </w:r>
      <w:r>
        <w:rPr>
          <w:rFonts w:hint="eastAsia" w:ascii="宋体" w:hAnsi="宋体" w:cs="宋体"/>
        </w:rPr>
        <w:t>》</w:t>
      </w:r>
      <w:r>
        <w:rPr>
          <w:rFonts w:ascii="宋体" w:hAnsi="宋体" w:cs="宋体"/>
        </w:rPr>
        <w:t>的通知</w:t>
      </w:r>
      <w:r>
        <w:rPr>
          <w:rFonts w:hint="eastAsia" w:ascii="宋体" w:hAnsi="宋体" w:cs="宋体"/>
        </w:rPr>
        <w:t xml:space="preserve">   </w:t>
      </w:r>
      <w:r>
        <w:rPr>
          <w:rFonts w:ascii="宋体" w:hAnsi="宋体" w:cs="宋体"/>
        </w:rPr>
        <w:t>财资</w:t>
      </w:r>
      <w:r>
        <w:rPr>
          <w:rFonts w:hint="eastAsia" w:ascii="宋体" w:hAnsi="宋体" w:cs="宋体"/>
        </w:rPr>
        <w:t xml:space="preserve"> [</w:t>
      </w:r>
      <w:r>
        <w:rPr>
          <w:rFonts w:ascii="宋体" w:hAnsi="宋体" w:cs="宋体"/>
        </w:rPr>
        <w:t>201</w:t>
      </w:r>
      <w:r>
        <w:rPr>
          <w:rFonts w:hint="eastAsia" w:ascii="宋体" w:hAnsi="宋体" w:cs="宋体"/>
        </w:rPr>
        <w:t xml:space="preserve">6] </w:t>
      </w:r>
      <w:r>
        <w:rPr>
          <w:rFonts w:ascii="宋体" w:hAnsi="宋体" w:cs="宋体"/>
        </w:rPr>
        <w:t>1号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（七）事业资产产权登记</w:t>
      </w:r>
    </w:p>
    <w:p>
      <w:pPr>
        <w:rPr>
          <w:rFonts w:hint="eastAsia" w:ascii="宋体" w:hAnsi="宋体" w:cs="宋体"/>
          <w:bCs/>
          <w:iCs/>
          <w:lang w:bidi="zh-CN"/>
        </w:rPr>
      </w:pPr>
      <w:r>
        <w:rPr>
          <w:rFonts w:hint="eastAsia" w:ascii="宋体" w:hAnsi="宋体" w:cs="宋体"/>
          <w:bCs/>
          <w:iCs/>
          <w:lang w:bidi="zh-CN"/>
        </w:rPr>
        <w:t>1.</w:t>
      </w:r>
      <w:r>
        <w:rPr>
          <w:rFonts w:hint="eastAsia" w:ascii="宋体" w:hAnsi="宋体" w:cs="宋体"/>
        </w:rPr>
        <w:t xml:space="preserve"> 《事业单位及事业单位所办企业国有资产产权登记管理办法》   财教 [</w:t>
      </w:r>
      <w:r>
        <w:rPr>
          <w:rFonts w:ascii="宋体" w:hAnsi="宋体" w:cs="宋体"/>
        </w:rPr>
        <w:t>201</w:t>
      </w:r>
      <w:r>
        <w:rPr>
          <w:rFonts w:hint="eastAsia" w:ascii="宋体" w:hAnsi="宋体" w:cs="宋体"/>
        </w:rPr>
        <w:t>2] 242号</w:t>
      </w:r>
    </w:p>
    <w:p>
      <w:pPr>
        <w:ind w:left="105" w:hanging="105" w:hangingChars="50"/>
        <w:rPr>
          <w:rFonts w:hint="eastAsia" w:ascii="宋体" w:hAnsi="宋体" w:cs="宋体"/>
        </w:rPr>
      </w:pPr>
      <w:r>
        <w:rPr>
          <w:rFonts w:hint="eastAsia" w:ascii="宋体" w:hAnsi="宋体" w:cs="宋体"/>
        </w:rPr>
        <w:t>2.</w:t>
      </w:r>
      <w:r>
        <w:rPr>
          <w:rFonts w:hint="eastAsia" w:ascii="方正小标宋简体" w:eastAsia="方正小标宋简体"/>
          <w:b/>
          <w:bCs/>
          <w:color w:val="185895"/>
          <w:sz w:val="40"/>
          <w:szCs w:val="40"/>
        </w:rPr>
        <w:t xml:space="preserve"> </w:t>
      </w:r>
      <w:r>
        <w:rPr>
          <w:rFonts w:hint="eastAsia" w:ascii="宋体" w:hAnsi="宋体" w:cs="宋体"/>
        </w:rPr>
        <w:t>财政部关于修订《事业单位及事业单位所办企业国有资产产权登记管理办法》的通知  财资 [</w:t>
      </w:r>
      <w:r>
        <w:rPr>
          <w:rFonts w:ascii="宋体" w:hAnsi="宋体" w:cs="宋体"/>
        </w:rPr>
        <w:t>201</w:t>
      </w:r>
      <w:r>
        <w:rPr>
          <w:rFonts w:hint="eastAsia" w:ascii="宋体" w:hAnsi="宋体" w:cs="宋体"/>
        </w:rPr>
        <w:t>9] 12 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（八）事业资产监督管理</w:t>
      </w:r>
    </w:p>
    <w:p>
      <w:pPr>
        <w:rPr>
          <w:rFonts w:hint="eastAsia" w:ascii="宋体" w:hAnsi="宋体" w:cs="宋体"/>
        </w:rPr>
      </w:pPr>
      <w:r>
        <w:rPr>
          <w:rFonts w:hint="eastAsia" w:ascii="宋体" w:hAnsi="宋体" w:cs="宋体"/>
        </w:rPr>
        <w:t>1.关于进一步做好事业单位所办企业国有资产监管工作的通知   鲁财资 [</w:t>
      </w:r>
      <w:r>
        <w:rPr>
          <w:rFonts w:ascii="宋体" w:hAnsi="宋体" w:cs="宋体"/>
        </w:rPr>
        <w:t>201</w:t>
      </w:r>
      <w:r>
        <w:rPr>
          <w:rFonts w:hint="eastAsia" w:ascii="宋体" w:hAnsi="宋体" w:cs="宋体"/>
        </w:rPr>
        <w:t>3] 96号</w:t>
      </w:r>
    </w:p>
    <w:p>
      <w:pPr>
        <w:rPr>
          <w:rFonts w:hint="eastAsia" w:ascii="宋体" w:hAnsi="宋体" w:cs="宋体"/>
        </w:rPr>
      </w:pPr>
      <w:r>
        <w:rPr>
          <w:rFonts w:hint="eastAsia" w:ascii="宋体" w:hAnsi="宋体" w:cs="宋体"/>
        </w:rPr>
        <w:t xml:space="preserve">2.关于深入推进完善省属经营性国有资产统一监管工作的意见   </w:t>
      </w:r>
      <w:r>
        <w:rPr>
          <w:rFonts w:ascii="宋体" w:hAnsi="宋体" w:cs="宋体"/>
        </w:rPr>
        <w:t>鲁办发</w:t>
      </w:r>
      <w:r>
        <w:rPr>
          <w:rFonts w:hint="eastAsia" w:ascii="宋体" w:hAnsi="宋体" w:cs="宋体"/>
        </w:rPr>
        <w:t xml:space="preserve"> [</w:t>
      </w:r>
      <w:r>
        <w:rPr>
          <w:rFonts w:ascii="宋体" w:hAnsi="宋体" w:cs="宋体"/>
        </w:rPr>
        <w:t>201</w:t>
      </w:r>
      <w:r>
        <w:rPr>
          <w:rFonts w:hint="eastAsia" w:ascii="宋体" w:hAnsi="宋体" w:cs="宋体"/>
        </w:rPr>
        <w:t xml:space="preserve">9] </w:t>
      </w:r>
      <w:r>
        <w:rPr>
          <w:rFonts w:ascii="宋体" w:hAnsi="宋体" w:cs="宋体"/>
        </w:rPr>
        <w:t>6号</w:t>
      </w:r>
    </w:p>
    <w:p>
      <w:pPr>
        <w:rPr>
          <w:rFonts w:hint="eastAsia" w:ascii="Times New Roman"/>
        </w:rPr>
      </w:pPr>
    </w:p>
    <w:p>
      <w:pPr>
        <w:rPr>
          <w:rFonts w:hint="eastAsia" w:ascii="楷体" w:hAnsi="楷体" w:eastAsia="楷体" w:cs="宋体"/>
          <w:b/>
          <w:bCs/>
          <w:sz w:val="24"/>
        </w:rPr>
      </w:pPr>
      <w:r>
        <w:rPr>
          <w:rFonts w:hint="eastAsia" w:ascii="楷体" w:hAnsi="楷体" w:eastAsia="楷体" w:cs="宋体"/>
          <w:b/>
          <w:bCs/>
          <w:sz w:val="24"/>
        </w:rPr>
        <w:t>（九）事业资产管理绩效评价</w:t>
      </w:r>
    </w:p>
    <w:p>
      <w:pPr>
        <w:rPr>
          <w:rFonts w:hint="eastAsia" w:ascii="宋体" w:hAnsi="宋体" w:cs="宋体"/>
        </w:rPr>
      </w:pPr>
      <w:r>
        <w:rPr>
          <w:rFonts w:hint="eastAsia" w:ascii="宋体" w:hAnsi="宋体" w:cs="宋体"/>
        </w:rPr>
        <w:t xml:space="preserve">1.山东省财政厅关于印发《山东省省级行政事业性国有资产管理绩效评价暂行办法》的通知  </w:t>
      </w:r>
      <w:r>
        <w:rPr>
          <w:rFonts w:ascii="宋体" w:hAnsi="宋体" w:cs="宋体"/>
        </w:rPr>
        <w:t>鲁财资</w:t>
      </w:r>
      <w:r>
        <w:rPr>
          <w:rFonts w:hint="eastAsia" w:ascii="宋体" w:hAnsi="宋体" w:cs="宋体"/>
        </w:rPr>
        <w:t xml:space="preserve"> [</w:t>
      </w:r>
      <w:r>
        <w:rPr>
          <w:rFonts w:ascii="宋体" w:hAnsi="宋体" w:cs="宋体"/>
        </w:rPr>
        <w:t>20</w:t>
      </w:r>
      <w:r>
        <w:rPr>
          <w:rFonts w:hint="eastAsia" w:ascii="宋体" w:hAnsi="宋体" w:cs="宋体"/>
        </w:rPr>
        <w:t>19] 49</w:t>
      </w:r>
      <w:r>
        <w:rPr>
          <w:rFonts w:ascii="宋体" w:hAnsi="宋体" w:cs="宋体"/>
        </w:rPr>
        <w:t>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（十）事业资产年报、资产月报</w:t>
      </w:r>
    </w:p>
    <w:p>
      <w:pPr>
        <w:rPr>
          <w:rFonts w:hint="eastAsia" w:ascii="宋体" w:hAnsi="宋体" w:cs="宋体"/>
        </w:rPr>
      </w:pPr>
      <w:r>
        <w:rPr>
          <w:rFonts w:hint="eastAsia" w:ascii="宋体" w:hAnsi="宋体" w:cs="宋体"/>
        </w:rPr>
        <w:t>1.财政部关于印发《政府会计准则第1号——存货》等4项具体准则的通知   [2016]</w:t>
      </w:r>
    </w:p>
    <w:p>
      <w:pPr>
        <w:rPr>
          <w:rFonts w:hint="eastAsia" w:ascii="宋体" w:hAnsi="宋体" w:cs="宋体"/>
        </w:rPr>
      </w:pPr>
      <w:r>
        <w:rPr>
          <w:rFonts w:hint="eastAsia" w:ascii="宋体" w:hAnsi="宋体" w:cs="宋体"/>
        </w:rPr>
        <w:t>2.《政府会计准则第3号——固定资产》应用指南   财会 [2017] 4号</w:t>
      </w:r>
    </w:p>
    <w:p>
      <w:pPr>
        <w:rPr>
          <w:rFonts w:hint="eastAsia" w:ascii="宋体" w:hAnsi="宋体" w:cs="宋体"/>
        </w:rPr>
      </w:pPr>
      <w:r>
        <w:rPr>
          <w:rFonts w:hint="eastAsia" w:ascii="宋体" w:hAnsi="宋体" w:cs="宋体"/>
        </w:rPr>
        <w:t>3.关于印发《行政事业单位国有资产年度报告管理办法》的通知   财资 [2017] 3号</w:t>
      </w:r>
    </w:p>
    <w:p>
      <w:pPr>
        <w:rPr>
          <w:rFonts w:hint="eastAsia" w:ascii="宋体" w:hAnsi="宋体" w:cs="宋体"/>
        </w:rPr>
      </w:pPr>
      <w:r>
        <w:rPr>
          <w:rFonts w:hint="eastAsia" w:ascii="宋体" w:hAnsi="宋体" w:cs="宋体"/>
        </w:rPr>
        <w:t>4.财政部关于做好行政事业性国有资产月报试编工作的通知   财资 [</w:t>
      </w:r>
      <w:r>
        <w:rPr>
          <w:rFonts w:ascii="宋体" w:hAnsi="宋体" w:cs="宋体"/>
        </w:rPr>
        <w:t>201</w:t>
      </w:r>
      <w:r>
        <w:rPr>
          <w:rFonts w:hint="eastAsia" w:ascii="宋体" w:hAnsi="宋体" w:cs="宋体"/>
        </w:rPr>
        <w:t>8] 109</w:t>
      </w:r>
      <w:r>
        <w:rPr>
          <w:rFonts w:ascii="宋体" w:hAnsi="宋体" w:cs="宋体"/>
        </w:rPr>
        <w:t>号</w:t>
      </w:r>
    </w:p>
    <w:p>
      <w:pPr>
        <w:rPr>
          <w:rFonts w:hint="eastAsia" w:ascii="宋体" w:hAnsi="宋体" w:cs="宋体"/>
        </w:rPr>
      </w:pPr>
      <w:r>
        <w:rPr>
          <w:rFonts w:hint="eastAsia" w:ascii="宋体" w:hAnsi="宋体" w:cs="宋体"/>
        </w:rPr>
        <w:t>5.关于试编行政事业性国有资产月报有关问题的通知   鲁财资 [</w:t>
      </w:r>
      <w:r>
        <w:rPr>
          <w:rFonts w:ascii="宋体" w:hAnsi="宋体" w:cs="宋体"/>
        </w:rPr>
        <w:t>201</w:t>
      </w:r>
      <w:r>
        <w:rPr>
          <w:rFonts w:hint="eastAsia" w:ascii="宋体" w:hAnsi="宋体" w:cs="宋体"/>
        </w:rPr>
        <w:t>9] 2</w:t>
      </w:r>
      <w:r>
        <w:rPr>
          <w:rFonts w:ascii="宋体" w:hAnsi="宋体" w:cs="宋体"/>
        </w:rPr>
        <w:t>号</w:t>
      </w:r>
    </w:p>
    <w:p>
      <w:pPr>
        <w:rPr>
          <w:rFonts w:hint="eastAsia" w:ascii="宋体" w:hAnsi="宋体" w:cs="宋体"/>
        </w:rPr>
      </w:pPr>
      <w:r>
        <w:rPr>
          <w:rFonts w:hint="eastAsia" w:ascii="宋体" w:hAnsi="宋体" w:cs="宋体"/>
        </w:rPr>
        <w:t>6.财政部关于调整行政事业性国有资产月报有关指标的通知财资便函    [</w:t>
      </w:r>
      <w:r>
        <w:rPr>
          <w:rFonts w:ascii="宋体" w:hAnsi="宋体" w:cs="宋体"/>
        </w:rPr>
        <w:t>20</w:t>
      </w:r>
      <w:r>
        <w:rPr>
          <w:rFonts w:hint="eastAsia" w:ascii="宋体" w:hAnsi="宋体" w:cs="宋体"/>
        </w:rPr>
        <w:t>20] 72</w:t>
      </w:r>
      <w:r>
        <w:rPr>
          <w:rFonts w:ascii="宋体" w:hAnsi="宋体" w:cs="宋体"/>
        </w:rPr>
        <w:t>号</w:t>
      </w:r>
    </w:p>
    <w:p>
      <w:pPr>
        <w:ind w:left="210" w:hanging="210" w:hangingChars="100"/>
        <w:rPr>
          <w:rFonts w:hint="eastAsia" w:ascii="宋体" w:hAnsi="宋体" w:cs="宋体"/>
        </w:rPr>
      </w:pPr>
      <w:r>
        <w:rPr>
          <w:rFonts w:hint="eastAsia" w:ascii="宋体" w:hAnsi="宋体" w:cs="宋体"/>
        </w:rPr>
        <w:t>7.山东省财政厅关于做好2020年度全省行政事业性国有资产报告和产权登记工作的通知   鲁财资 [</w:t>
      </w:r>
      <w:r>
        <w:rPr>
          <w:rFonts w:ascii="宋体" w:hAnsi="宋体" w:cs="宋体"/>
        </w:rPr>
        <w:t>20</w:t>
      </w:r>
      <w:r>
        <w:rPr>
          <w:rFonts w:hint="eastAsia" w:ascii="宋体" w:hAnsi="宋体" w:cs="宋体"/>
        </w:rPr>
        <w:t xml:space="preserve">21] </w:t>
      </w:r>
      <w:r>
        <w:rPr>
          <w:rFonts w:ascii="宋体" w:hAnsi="宋体" w:cs="宋体"/>
        </w:rPr>
        <w:t>1号</w:t>
      </w:r>
      <w:r>
        <w:rPr>
          <w:rFonts w:hint="eastAsia" w:ascii="宋体" w:hAnsi="宋体" w:cs="宋体"/>
        </w:rPr>
        <w:t xml:space="preserve">  </w:t>
      </w:r>
    </w:p>
    <w:p>
      <w:pPr>
        <w:ind w:left="210" w:hanging="210" w:hangingChars="100"/>
        <w:rPr>
          <w:rFonts w:hint="eastAsia" w:ascii="宋体" w:hAnsi="宋体" w:cs="宋体"/>
        </w:rPr>
      </w:pPr>
    </w:p>
    <w:p>
      <w:pPr>
        <w:rPr>
          <w:rFonts w:hint="eastAsia" w:ascii="方正粗黑宋简体" w:hAnsi="方正粗黑宋简体" w:eastAsia="方正粗黑宋简体" w:cs="宋体"/>
          <w:b/>
          <w:bCs/>
          <w:color w:val="000000"/>
          <w:sz w:val="28"/>
          <w:szCs w:val="28"/>
        </w:rPr>
      </w:pPr>
      <w:r>
        <w:rPr>
          <w:rFonts w:hint="eastAsia" w:ascii="方正粗黑宋简体" w:hAnsi="方正粗黑宋简体" w:eastAsia="方正粗黑宋简体" w:cs="宋体"/>
          <w:b/>
          <w:bCs/>
          <w:color w:val="000000"/>
          <w:sz w:val="28"/>
          <w:szCs w:val="28"/>
        </w:rPr>
        <w:t>三、涉及高校资产管理的其他规章</w:t>
      </w:r>
    </w:p>
    <w:p>
      <w:pPr>
        <w:rPr>
          <w:rFonts w:hint="eastAsia" w:ascii="楷体" w:hAnsi="楷体" w:eastAsia="楷体" w:cs="宋体"/>
          <w:b/>
          <w:bCs/>
          <w:sz w:val="24"/>
        </w:rPr>
      </w:pPr>
      <w:r>
        <w:rPr>
          <w:rFonts w:hint="eastAsia" w:ascii="楷体" w:hAnsi="楷体" w:eastAsia="楷体" w:cs="宋体"/>
          <w:b/>
          <w:bCs/>
          <w:sz w:val="24"/>
        </w:rPr>
        <w:t>（一）资产管理</w:t>
      </w:r>
    </w:p>
    <w:p>
      <w:pPr>
        <w:rPr>
          <w:rFonts w:hint="eastAsia" w:ascii="宋体" w:hAnsi="宋体" w:cs="宋体"/>
        </w:rPr>
      </w:pPr>
      <w:r>
        <w:rPr>
          <w:rFonts w:hint="eastAsia" w:ascii="宋体" w:hAnsi="宋体" w:cs="宋体"/>
        </w:rPr>
        <w:t xml:space="preserve">1.关于进一步加强高等学校国有资产管理的通知  </w:t>
      </w:r>
      <w:r>
        <w:rPr>
          <w:rFonts w:ascii="宋体" w:hAnsi="宋体" w:cs="宋体"/>
        </w:rPr>
        <w:t>鲁</w:t>
      </w:r>
      <w:r>
        <w:rPr>
          <w:rFonts w:hint="eastAsia" w:ascii="宋体" w:hAnsi="宋体" w:cs="宋体"/>
        </w:rPr>
        <w:t>教</w:t>
      </w:r>
      <w:r>
        <w:rPr>
          <w:rFonts w:ascii="宋体" w:hAnsi="宋体" w:cs="宋体"/>
        </w:rPr>
        <w:t>财</w:t>
      </w:r>
      <w:r>
        <w:rPr>
          <w:rFonts w:hint="eastAsia" w:ascii="宋体" w:hAnsi="宋体" w:cs="宋体"/>
        </w:rPr>
        <w:t>函 [</w:t>
      </w:r>
      <w:r>
        <w:rPr>
          <w:rFonts w:ascii="宋体" w:hAnsi="宋体" w:cs="宋体"/>
        </w:rPr>
        <w:t>201</w:t>
      </w:r>
      <w:r>
        <w:rPr>
          <w:rFonts w:hint="eastAsia" w:ascii="宋体" w:hAnsi="宋体" w:cs="宋体"/>
        </w:rPr>
        <w:t>8]</w:t>
      </w:r>
      <w:r>
        <w:rPr>
          <w:rFonts w:ascii="宋体" w:hAnsi="宋体" w:cs="宋体"/>
        </w:rPr>
        <w:t xml:space="preserve"> </w:t>
      </w:r>
      <w:r>
        <w:rPr>
          <w:rFonts w:hint="eastAsia" w:ascii="宋体" w:hAnsi="宋体" w:cs="宋体"/>
        </w:rPr>
        <w:t>8</w:t>
      </w:r>
      <w:r>
        <w:rPr>
          <w:rFonts w:ascii="宋体" w:hAnsi="宋体" w:cs="宋体"/>
        </w:rPr>
        <w:t>号</w:t>
      </w:r>
    </w:p>
    <w:p>
      <w:pPr>
        <w:rPr>
          <w:rFonts w:hint="eastAsia" w:ascii="宋体" w:hAnsi="宋体" w:cs="宋体"/>
        </w:rPr>
      </w:pPr>
      <w:r>
        <w:rPr>
          <w:rFonts w:hint="eastAsia" w:ascii="宋体" w:hAnsi="宋体" w:cs="宋体"/>
        </w:rPr>
        <w:t xml:space="preserve">2.关于深化高等教育领域简政放权放管结合优化服务改革的实施意见  </w:t>
      </w:r>
      <w:r>
        <w:rPr>
          <w:rFonts w:ascii="宋体" w:hAnsi="宋体" w:cs="宋体"/>
        </w:rPr>
        <w:t>鲁</w:t>
      </w:r>
      <w:r>
        <w:rPr>
          <w:rFonts w:hint="eastAsia" w:ascii="宋体" w:hAnsi="宋体" w:cs="宋体"/>
        </w:rPr>
        <w:t>教法发 [</w:t>
      </w:r>
      <w:r>
        <w:rPr>
          <w:rFonts w:ascii="宋体" w:hAnsi="宋体" w:cs="宋体"/>
        </w:rPr>
        <w:t>201</w:t>
      </w:r>
      <w:r>
        <w:rPr>
          <w:rFonts w:hint="eastAsia" w:ascii="宋体" w:hAnsi="宋体" w:cs="宋体"/>
        </w:rPr>
        <w:t>8]</w:t>
      </w:r>
      <w:r>
        <w:rPr>
          <w:rFonts w:ascii="宋体" w:hAnsi="宋体" w:cs="宋体"/>
        </w:rPr>
        <w:t xml:space="preserve"> </w:t>
      </w:r>
      <w:r>
        <w:rPr>
          <w:rFonts w:hint="eastAsia" w:ascii="宋体" w:hAnsi="宋体" w:cs="宋体"/>
        </w:rPr>
        <w:t>1</w:t>
      </w:r>
      <w:r>
        <w:rPr>
          <w:rFonts w:ascii="宋体" w:hAnsi="宋体" w:cs="宋体"/>
        </w:rPr>
        <w:t>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（二）资产处置</w:t>
      </w:r>
    </w:p>
    <w:p>
      <w:pPr>
        <w:rPr>
          <w:rFonts w:hint="eastAsia" w:ascii="宋体" w:hAnsi="宋体" w:cs="宋体"/>
        </w:rPr>
      </w:pPr>
      <w:r>
        <w:rPr>
          <w:rFonts w:hint="eastAsia" w:ascii="宋体" w:hAnsi="宋体" w:cs="宋体"/>
        </w:rPr>
        <w:t xml:space="preserve">1.关于省直部门所属高校国有资产处置管理有关问题的通知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7]</w:t>
      </w:r>
      <w:r>
        <w:rPr>
          <w:rFonts w:ascii="宋体" w:hAnsi="宋体" w:cs="宋体"/>
        </w:rPr>
        <w:t xml:space="preserve"> </w:t>
      </w:r>
      <w:r>
        <w:rPr>
          <w:rFonts w:hint="eastAsia" w:ascii="宋体" w:hAnsi="宋体" w:cs="宋体"/>
        </w:rPr>
        <w:t>97</w:t>
      </w:r>
      <w:r>
        <w:rPr>
          <w:rFonts w:ascii="宋体" w:hAnsi="宋体" w:cs="宋体"/>
        </w:rPr>
        <w:t>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（三）共享共用</w:t>
      </w:r>
    </w:p>
    <w:p>
      <w:pPr>
        <w:rPr>
          <w:rFonts w:hint="eastAsia" w:ascii="宋体" w:hAnsi="宋体" w:cs="宋体"/>
        </w:rPr>
      </w:pPr>
      <w:r>
        <w:rPr>
          <w:rFonts w:hint="eastAsia" w:ascii="宋体" w:hAnsi="宋体" w:cs="宋体"/>
        </w:rPr>
        <w:t>1.教育部办公厅关于加强高等学校科研基础设施和科研仪器开放共享的指导意见   教技厅 [</w:t>
      </w:r>
      <w:r>
        <w:rPr>
          <w:rFonts w:ascii="宋体" w:hAnsi="宋体" w:cs="宋体"/>
        </w:rPr>
        <w:t>2015</w:t>
      </w:r>
      <w:r>
        <w:rPr>
          <w:rFonts w:hint="eastAsia" w:ascii="宋体" w:hAnsi="宋体" w:cs="宋体"/>
        </w:rPr>
        <w:t>]</w:t>
      </w:r>
      <w:r>
        <w:rPr>
          <w:rFonts w:ascii="宋体" w:hAnsi="宋体" w:cs="宋体"/>
        </w:rPr>
        <w:t xml:space="preserve"> </w:t>
      </w:r>
      <w:r>
        <w:rPr>
          <w:rFonts w:hint="eastAsia" w:ascii="宋体" w:hAnsi="宋体" w:cs="宋体"/>
        </w:rPr>
        <w:t>4号</w:t>
      </w:r>
    </w:p>
    <w:p>
      <w:pPr>
        <w:rPr>
          <w:rFonts w:hint="eastAsia" w:ascii="宋体" w:hAnsi="宋体" w:cs="宋体"/>
          <w:b/>
          <w:bCs/>
          <w:sz w:val="28"/>
          <w:szCs w:val="28"/>
        </w:rPr>
      </w:pPr>
    </w:p>
    <w:p>
      <w:pPr>
        <w:rPr>
          <w:rFonts w:hint="eastAsia" w:ascii="楷体" w:hAnsi="楷体" w:eastAsia="楷体" w:cs="宋体"/>
          <w:b/>
          <w:bCs/>
          <w:sz w:val="24"/>
        </w:rPr>
      </w:pPr>
      <w:r>
        <w:rPr>
          <w:rFonts w:hint="eastAsia" w:ascii="楷体" w:hAnsi="楷体" w:eastAsia="楷体" w:cs="宋体"/>
          <w:b/>
          <w:bCs/>
          <w:sz w:val="24"/>
        </w:rPr>
        <w:t>（四）公车管理</w:t>
      </w:r>
    </w:p>
    <w:p>
      <w:pPr>
        <w:rPr>
          <w:rFonts w:ascii="宋体" w:hAnsi="宋体" w:cs="宋体"/>
        </w:rPr>
      </w:pPr>
      <w:r>
        <w:rPr>
          <w:rFonts w:hint="eastAsia" w:ascii="宋体" w:hAnsi="宋体" w:cs="宋体"/>
        </w:rPr>
        <w:t>1.</w:t>
      </w:r>
      <w:r>
        <w:rPr>
          <w:rFonts w:ascii="宋体" w:hAnsi="宋体" w:cs="宋体"/>
        </w:rPr>
        <w:t>关于加强行政事业单位机动车辆资产管理工作的通知</w:t>
      </w:r>
      <w:r>
        <w:rPr>
          <w:rFonts w:hint="eastAsia" w:ascii="宋体" w:hAnsi="宋体" w:cs="宋体"/>
        </w:rPr>
        <w:t xml:space="preserve">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 xml:space="preserve">1] 32 </w:t>
      </w:r>
      <w:r>
        <w:rPr>
          <w:rFonts w:ascii="宋体" w:hAnsi="宋体" w:cs="宋体"/>
        </w:rPr>
        <w:t>号</w:t>
      </w:r>
    </w:p>
    <w:p>
      <w:pPr>
        <w:rPr>
          <w:rFonts w:hint="eastAsia" w:ascii="宋体" w:hAnsi="宋体" w:cs="宋体"/>
        </w:rPr>
      </w:pPr>
      <w:r>
        <w:rPr>
          <w:rFonts w:hint="eastAsia" w:ascii="宋体" w:hAnsi="宋体" w:cs="宋体"/>
        </w:rPr>
        <w:t>2.</w:t>
      </w:r>
      <w:r>
        <w:rPr>
          <w:rFonts w:ascii="宋体" w:hAnsi="宋体" w:cs="宋体"/>
        </w:rPr>
        <w:t>省委办公厅、省政府办公厅</w:t>
      </w:r>
      <w:r>
        <w:rPr>
          <w:rFonts w:hint="eastAsia" w:ascii="宋体" w:hAnsi="宋体" w:cs="宋体"/>
        </w:rPr>
        <w:t>《山东省公务用车制度改革总体方案》   [</w:t>
      </w:r>
      <w:r>
        <w:rPr>
          <w:rFonts w:ascii="宋体" w:hAnsi="宋体" w:cs="宋体"/>
        </w:rPr>
        <w:t>201</w:t>
      </w:r>
      <w:r>
        <w:rPr>
          <w:rFonts w:hint="eastAsia" w:ascii="宋体" w:hAnsi="宋体" w:cs="宋体"/>
        </w:rPr>
        <w:t>5]</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（五）土地管理</w:t>
      </w:r>
    </w:p>
    <w:p>
      <w:pPr>
        <w:rPr>
          <w:rFonts w:hint="eastAsia" w:ascii="宋体" w:hAnsi="宋体" w:cs="宋体"/>
        </w:rPr>
      </w:pPr>
      <w:r>
        <w:rPr>
          <w:rFonts w:hint="eastAsia" w:ascii="宋体" w:hAnsi="宋体" w:cs="宋体"/>
        </w:rPr>
        <w:t>1.</w:t>
      </w:r>
      <w:r>
        <w:rPr>
          <w:rFonts w:ascii="宋体" w:hAnsi="宋体" w:cs="宋体"/>
        </w:rPr>
        <w:t>关于加强行政</w:t>
      </w:r>
      <w:r>
        <w:rPr>
          <w:rFonts w:hint="eastAsia" w:ascii="宋体" w:hAnsi="宋体" w:cs="宋体"/>
        </w:rPr>
        <w:t>事</w:t>
      </w:r>
      <w:r>
        <w:rPr>
          <w:rFonts w:ascii="宋体" w:hAnsi="宋体" w:cs="宋体"/>
        </w:rPr>
        <w:t>业单位土地资产管理工作的通知</w:t>
      </w:r>
      <w:r>
        <w:rPr>
          <w:rFonts w:hint="eastAsia" w:ascii="宋体" w:hAnsi="宋体" w:cs="宋体"/>
        </w:rPr>
        <w:t xml:space="preserve">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 xml:space="preserve">1] </w:t>
      </w:r>
      <w:r>
        <w:rPr>
          <w:rFonts w:ascii="宋体" w:hAnsi="宋体" w:cs="宋体"/>
        </w:rPr>
        <w:t>26号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（六）公用房管理</w:t>
      </w:r>
    </w:p>
    <w:p>
      <w:pPr>
        <w:rPr>
          <w:rFonts w:ascii="宋体" w:hAnsi="宋体" w:cs="宋体"/>
        </w:rPr>
      </w:pPr>
      <w:r>
        <w:rPr>
          <w:rFonts w:hint="eastAsia" w:ascii="宋体" w:hAnsi="宋体" w:cs="宋体"/>
        </w:rPr>
        <w:t>1.教育部关于印发《普通高等学校基本办学条件指标(试行)》的通知   教发[</w:t>
      </w:r>
      <w:r>
        <w:rPr>
          <w:rFonts w:ascii="宋体" w:hAnsi="宋体" w:cs="宋体"/>
        </w:rPr>
        <w:t>20</w:t>
      </w:r>
      <w:r>
        <w:rPr>
          <w:rFonts w:hint="eastAsia" w:ascii="宋体" w:hAnsi="宋体" w:cs="宋体"/>
        </w:rPr>
        <w:t>0</w:t>
      </w:r>
      <w:r>
        <w:rPr>
          <w:rFonts w:ascii="宋体" w:hAnsi="宋体" w:cs="宋体"/>
        </w:rPr>
        <w:t>4</w:t>
      </w:r>
      <w:r>
        <w:rPr>
          <w:rFonts w:hint="eastAsia" w:ascii="宋体" w:hAnsi="宋体" w:cs="宋体"/>
        </w:rPr>
        <w:t>]2号</w:t>
      </w:r>
    </w:p>
    <w:p>
      <w:pPr>
        <w:rPr>
          <w:rFonts w:hint="eastAsia" w:ascii="宋体" w:hAnsi="宋体" w:cs="宋体"/>
        </w:rPr>
      </w:pPr>
      <w:r>
        <w:rPr>
          <w:rFonts w:hint="eastAsia" w:ascii="宋体" w:hAnsi="宋体" w:cs="宋体"/>
        </w:rPr>
        <w:t>2.</w:t>
      </w:r>
      <w:r>
        <w:rPr>
          <w:rFonts w:ascii="宋体" w:hAnsi="宋体" w:cs="宋体"/>
        </w:rPr>
        <w:t>关于加强行政事业单位房屋资产管理工作的通知</w:t>
      </w:r>
      <w:r>
        <w:rPr>
          <w:rFonts w:hint="eastAsia" w:ascii="宋体" w:hAnsi="宋体" w:cs="宋体"/>
        </w:rPr>
        <w:t xml:space="preserve">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 xml:space="preserve">1] </w:t>
      </w:r>
      <w:r>
        <w:rPr>
          <w:rFonts w:ascii="宋体" w:hAnsi="宋体" w:cs="宋体"/>
        </w:rPr>
        <w:t>23 号</w:t>
      </w:r>
    </w:p>
    <w:p>
      <w:pPr>
        <w:rPr>
          <w:rFonts w:hint="eastAsia" w:ascii="宋体" w:hAnsi="宋体" w:cs="宋体"/>
        </w:rPr>
      </w:pPr>
      <w:r>
        <w:rPr>
          <w:rFonts w:hint="eastAsia" w:ascii="宋体" w:hAnsi="宋体" w:cs="宋体"/>
        </w:rPr>
        <w:t>3.关于加强高等学校公用房屋管理工作的通知   鲁教财字 [</w:t>
      </w:r>
      <w:r>
        <w:rPr>
          <w:rFonts w:ascii="宋体" w:hAnsi="宋体" w:cs="宋体"/>
        </w:rPr>
        <w:t>2013</w:t>
      </w:r>
      <w:r>
        <w:rPr>
          <w:rFonts w:hint="eastAsia" w:ascii="宋体" w:hAnsi="宋体" w:cs="宋体"/>
        </w:rPr>
        <w:t>] 18号</w:t>
      </w:r>
    </w:p>
    <w:p>
      <w:pPr>
        <w:rPr>
          <w:rFonts w:ascii="宋体" w:hAnsi="宋体" w:cs="宋体"/>
        </w:rPr>
      </w:pPr>
      <w:r>
        <w:rPr>
          <w:rFonts w:hint="eastAsia" w:ascii="宋体" w:hAnsi="宋体" w:cs="宋体"/>
        </w:rPr>
        <w:t>4.</w:t>
      </w:r>
      <w:r>
        <w:rPr>
          <w:rFonts w:ascii="宋体" w:hAnsi="宋体" w:cs="宋体"/>
        </w:rPr>
        <w:t>国家发展改革委 住房城乡建设部关于印发党政机关办公用房建设标准的通知</w:t>
      </w:r>
      <w:r>
        <w:rPr>
          <w:rFonts w:hint="eastAsia" w:ascii="宋体" w:hAnsi="宋体" w:cs="宋体"/>
        </w:rPr>
        <w:t xml:space="preserve">   发改投资</w:t>
      </w:r>
      <w:r>
        <w:rPr>
          <w:rFonts w:ascii="宋体" w:hAnsi="宋体" w:cs="宋体"/>
        </w:rPr>
        <w:t xml:space="preserve"> [2014]</w:t>
      </w:r>
      <w:r>
        <w:rPr>
          <w:rFonts w:hint="eastAsia" w:ascii="宋体" w:hAnsi="宋体" w:cs="宋体"/>
        </w:rPr>
        <w:t xml:space="preserve"> 2674号</w:t>
      </w:r>
    </w:p>
    <w:p>
      <w:pPr>
        <w:rPr>
          <w:rFonts w:hint="eastAsia" w:ascii="宋体" w:hAnsi="宋体" w:cs="宋体"/>
        </w:rPr>
      </w:pPr>
      <w:r>
        <w:rPr>
          <w:rFonts w:hint="eastAsia" w:ascii="宋体" w:hAnsi="宋体" w:cs="宋体"/>
        </w:rPr>
        <w:t>5.</w:t>
      </w:r>
      <w:r>
        <w:rPr>
          <w:rFonts w:ascii="宋体" w:hAnsi="宋体" w:cs="宋体"/>
        </w:rPr>
        <w:t>关于印发</w:t>
      </w:r>
      <w:r>
        <w:rPr>
          <w:rFonts w:hint="eastAsia" w:ascii="宋体" w:hAnsi="宋体" w:cs="宋体"/>
        </w:rPr>
        <w:t>《</w:t>
      </w:r>
      <w:r>
        <w:rPr>
          <w:rFonts w:ascii="宋体" w:hAnsi="宋体" w:cs="宋体"/>
        </w:rPr>
        <w:t>山东省党政机关办公用房管理办法</w:t>
      </w:r>
      <w:r>
        <w:rPr>
          <w:rFonts w:hint="eastAsia" w:ascii="宋体" w:hAnsi="宋体" w:cs="宋体"/>
        </w:rPr>
        <w:t>》、</w:t>
      </w:r>
      <w:r>
        <w:rPr>
          <w:rFonts w:ascii="宋体" w:hAnsi="宋体" w:cs="宋体"/>
        </w:rPr>
        <w:t>《山东省党政机关公务用车管理办法》的通知</w:t>
      </w:r>
      <w:r>
        <w:rPr>
          <w:rFonts w:hint="eastAsia" w:ascii="宋体" w:hAnsi="宋体" w:cs="宋体"/>
        </w:rPr>
        <w:t xml:space="preserve">   </w:t>
      </w:r>
      <w:r>
        <w:rPr>
          <w:rFonts w:ascii="宋体" w:hAnsi="宋体" w:cs="宋体"/>
        </w:rPr>
        <w:t>鲁办发</w:t>
      </w:r>
      <w:r>
        <w:rPr>
          <w:rFonts w:hint="eastAsia" w:ascii="宋体" w:hAnsi="宋体" w:cs="宋体"/>
        </w:rPr>
        <w:t>[</w:t>
      </w:r>
      <w:r>
        <w:rPr>
          <w:rFonts w:ascii="宋体" w:hAnsi="宋体" w:cs="宋体"/>
        </w:rPr>
        <w:t>201</w:t>
      </w:r>
      <w:r>
        <w:rPr>
          <w:rFonts w:hint="eastAsia" w:ascii="宋体" w:hAnsi="宋体" w:cs="宋体"/>
        </w:rPr>
        <w:t xml:space="preserve">8] </w:t>
      </w:r>
      <w:r>
        <w:rPr>
          <w:rFonts w:ascii="宋体" w:hAnsi="宋体" w:cs="宋体"/>
        </w:rPr>
        <w:t>49 号</w:t>
      </w:r>
    </w:p>
    <w:p>
      <w:pPr>
        <w:rPr>
          <w:rFonts w:ascii="宋体" w:hAnsi="宋体" w:cs="宋体"/>
        </w:rPr>
      </w:pPr>
    </w:p>
    <w:p>
      <w:pPr>
        <w:rPr>
          <w:rFonts w:hint="eastAsia" w:ascii="楷体" w:hAnsi="楷体" w:eastAsia="楷体" w:cs="宋体"/>
          <w:b/>
          <w:bCs/>
          <w:sz w:val="24"/>
        </w:rPr>
      </w:pPr>
      <w:r>
        <w:rPr>
          <w:rFonts w:hint="eastAsia" w:ascii="楷体" w:hAnsi="楷体" w:eastAsia="楷体" w:cs="宋体"/>
          <w:b/>
          <w:bCs/>
          <w:sz w:val="24"/>
        </w:rPr>
        <w:t>（七）经营性资产管理（国有资产有偿使用管理）</w:t>
      </w:r>
    </w:p>
    <w:p>
      <w:pPr>
        <w:rPr>
          <w:rFonts w:ascii="宋体" w:hAnsi="宋体" w:cs="宋体"/>
        </w:rPr>
      </w:pPr>
      <w:r>
        <w:rPr>
          <w:rFonts w:hint="eastAsia" w:ascii="宋体" w:hAnsi="宋体" w:cs="宋体"/>
        </w:rPr>
        <w:t>1.</w:t>
      </w:r>
      <w:r>
        <w:rPr>
          <w:rFonts w:ascii="宋体" w:hAnsi="宋体" w:cs="宋体"/>
        </w:rPr>
        <w:t>关于制发山东省行政业资产租赁有关合同示范文本的通知</w:t>
      </w:r>
      <w:r>
        <w:rPr>
          <w:rFonts w:hint="eastAsia" w:ascii="宋体" w:hAnsi="宋体" w:cs="宋体"/>
        </w:rPr>
        <w:t xml:space="preserve">   </w:t>
      </w:r>
      <w:r>
        <w:rPr>
          <w:rFonts w:ascii="宋体" w:hAnsi="宋体" w:cs="宋体"/>
        </w:rPr>
        <w:t>鲁财资</w:t>
      </w:r>
      <w:r>
        <w:rPr>
          <w:rFonts w:hint="eastAsia" w:ascii="宋体" w:hAnsi="宋体" w:cs="宋体"/>
        </w:rPr>
        <w:t xml:space="preserve">[2011] </w:t>
      </w:r>
      <w:r>
        <w:rPr>
          <w:rFonts w:ascii="宋体" w:hAnsi="宋体" w:cs="宋体"/>
        </w:rPr>
        <w:t>35号</w:t>
      </w:r>
    </w:p>
    <w:p>
      <w:pPr>
        <w:rPr>
          <w:rFonts w:hint="eastAsia" w:ascii="宋体" w:hAnsi="宋体" w:cs="宋体"/>
        </w:rPr>
      </w:pPr>
      <w:r>
        <w:rPr>
          <w:rFonts w:hint="eastAsia" w:ascii="宋体" w:hAnsi="宋体" w:cs="宋体"/>
        </w:rPr>
        <w:t>2.</w:t>
      </w:r>
      <w:r>
        <w:rPr>
          <w:rFonts w:ascii="宋体" w:hAnsi="宋体" w:cs="宋体"/>
        </w:rPr>
        <w:t>关于调整行政事业国有资产租赁事项审批权限的通知</w:t>
      </w:r>
      <w:r>
        <w:rPr>
          <w:rFonts w:hint="eastAsia" w:ascii="宋体" w:hAnsi="宋体" w:cs="宋体"/>
        </w:rPr>
        <w:t xml:space="preserve">   </w:t>
      </w:r>
      <w:r>
        <w:rPr>
          <w:rFonts w:ascii="宋体" w:hAnsi="宋体" w:cs="宋体"/>
        </w:rPr>
        <w:t>鲁财资</w:t>
      </w:r>
      <w:r>
        <w:rPr>
          <w:rFonts w:hint="eastAsia" w:ascii="宋体" w:hAnsi="宋体" w:cs="宋体"/>
        </w:rPr>
        <w:t xml:space="preserve"> [2013] </w:t>
      </w:r>
      <w:r>
        <w:rPr>
          <w:rFonts w:ascii="宋体" w:hAnsi="宋体" w:cs="宋体"/>
        </w:rPr>
        <w:t>92号</w:t>
      </w:r>
    </w:p>
    <w:p>
      <w:pPr>
        <w:rPr>
          <w:rFonts w:ascii="宋体" w:hAnsi="宋体" w:cs="宋体"/>
        </w:rPr>
      </w:pPr>
      <w:r>
        <w:rPr>
          <w:rFonts w:hint="eastAsia" w:ascii="宋体" w:hAnsi="宋体" w:cs="宋体"/>
        </w:rPr>
        <w:t>3.关于做好巡视整改工作进一步规范高等学校资产租赁及对外投资等国有资产有偿使用管理的通知   鲁教财字 [2016] 9号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（八）无形资产管理</w:t>
      </w:r>
    </w:p>
    <w:p>
      <w:pPr>
        <w:rPr>
          <w:rFonts w:hint="eastAsia" w:ascii="宋体" w:hAnsi="宋体" w:cs="宋体"/>
        </w:rPr>
      </w:pPr>
      <w:r>
        <w:rPr>
          <w:rFonts w:hint="eastAsia" w:ascii="宋体" w:hAnsi="宋体" w:cs="宋体"/>
        </w:rPr>
        <w:t>1.高等学校知识产权保护管理规定  教育部第3号令 [1999]</w:t>
      </w:r>
    </w:p>
    <w:p>
      <w:pPr>
        <w:rPr>
          <w:rFonts w:hint="eastAsia" w:ascii="宋体" w:hAnsi="宋体" w:cs="宋体"/>
        </w:rPr>
      </w:pPr>
      <w:r>
        <w:rPr>
          <w:rFonts w:hint="eastAsia" w:ascii="宋体" w:hAnsi="宋体" w:cs="宋体"/>
        </w:rPr>
        <w:t>2.山东省高等学校无形资产管理办法   鲁教财字</w:t>
      </w:r>
      <w:r>
        <w:rPr>
          <w:rFonts w:ascii="宋体" w:hAnsi="宋体" w:cs="宋体"/>
        </w:rPr>
        <w:t xml:space="preserve"> [2002]</w:t>
      </w:r>
      <w:r>
        <w:rPr>
          <w:rFonts w:hint="eastAsia" w:ascii="宋体" w:hAnsi="宋体" w:cs="宋体"/>
        </w:rPr>
        <w:t xml:space="preserve"> </w:t>
      </w:r>
      <w:r>
        <w:rPr>
          <w:rFonts w:ascii="宋体" w:hAnsi="宋体" w:cs="宋体"/>
        </w:rPr>
        <w:t xml:space="preserve">11 </w:t>
      </w:r>
      <w:r>
        <w:rPr>
          <w:rFonts w:hint="eastAsia" w:ascii="宋体" w:hAnsi="宋体" w:cs="宋体"/>
        </w:rPr>
        <w:t>号</w:t>
      </w:r>
    </w:p>
    <w:p>
      <w:pPr>
        <w:rPr>
          <w:rFonts w:hint="eastAsia" w:ascii="宋体" w:hAnsi="宋体" w:cs="宋体"/>
        </w:rPr>
      </w:pPr>
      <w:r>
        <w:rPr>
          <w:rFonts w:hint="eastAsia" w:ascii="宋体" w:hAnsi="宋体" w:cs="宋体"/>
        </w:rPr>
        <w:t>3.山东省政府关于加快科技成果转化提高企业自主创新能力的意见（试行）  鲁政发 [</w:t>
      </w:r>
      <w:r>
        <w:rPr>
          <w:rFonts w:ascii="宋体" w:hAnsi="宋体" w:cs="宋体"/>
        </w:rPr>
        <w:t>20</w:t>
      </w:r>
      <w:r>
        <w:rPr>
          <w:rFonts w:hint="eastAsia" w:ascii="宋体" w:hAnsi="宋体" w:cs="宋体"/>
        </w:rPr>
        <w:t>1</w:t>
      </w:r>
      <w:r>
        <w:rPr>
          <w:rFonts w:ascii="宋体" w:hAnsi="宋体" w:cs="宋体"/>
        </w:rPr>
        <w:t>2</w:t>
      </w:r>
      <w:r>
        <w:rPr>
          <w:rFonts w:hint="eastAsia" w:ascii="宋体" w:hAnsi="宋体" w:cs="宋体"/>
        </w:rPr>
        <w:t>]</w:t>
      </w:r>
      <w:r>
        <w:rPr>
          <w:rFonts w:ascii="宋体" w:hAnsi="宋体" w:cs="宋体"/>
        </w:rPr>
        <w:t xml:space="preserve"> </w:t>
      </w:r>
      <w:r>
        <w:rPr>
          <w:rFonts w:hint="eastAsia" w:ascii="宋体" w:hAnsi="宋体" w:cs="宋体"/>
        </w:rPr>
        <w:t>45号</w:t>
      </w:r>
    </w:p>
    <w:p>
      <w:pPr>
        <w:rPr>
          <w:rFonts w:hint="eastAsia" w:ascii="宋体" w:hAnsi="宋体" w:cs="宋体"/>
        </w:rPr>
      </w:pPr>
      <w:r>
        <w:rPr>
          <w:rFonts w:hint="eastAsia" w:ascii="宋体" w:hAnsi="宋体" w:cs="宋体"/>
        </w:rPr>
        <w:t>4.国务院关于印发实施《中华人民共和国促进科技成果转化法》若干规定的通知   国发 [2016] 16号</w:t>
      </w:r>
    </w:p>
    <w:p>
      <w:pPr>
        <w:rPr>
          <w:rFonts w:hint="eastAsia" w:ascii="Times New Roman"/>
        </w:rPr>
      </w:pPr>
    </w:p>
    <w:p>
      <w:pPr>
        <w:rPr>
          <w:rFonts w:hint="eastAsia" w:ascii="楷体" w:hAnsi="楷体" w:eastAsia="楷体" w:cs="宋体"/>
          <w:b/>
          <w:bCs/>
          <w:sz w:val="24"/>
        </w:rPr>
      </w:pPr>
      <w:r>
        <w:rPr>
          <w:rFonts w:hint="eastAsia" w:ascii="楷体" w:hAnsi="楷体" w:eastAsia="楷体" w:cs="宋体"/>
          <w:b/>
          <w:bCs/>
          <w:sz w:val="24"/>
        </w:rPr>
        <w:t>（九）校办企业管理</w:t>
      </w:r>
    </w:p>
    <w:p>
      <w:pPr>
        <w:rPr>
          <w:rFonts w:hint="eastAsia" w:ascii="宋体" w:hAnsi="宋体" w:cs="宋体"/>
        </w:rPr>
      </w:pPr>
      <w:r>
        <w:rPr>
          <w:rFonts w:hint="eastAsia" w:ascii="宋体" w:hAnsi="宋体" w:cs="宋体"/>
        </w:rPr>
        <w:t>1.国务院关于推进国有资本投资、运营公司改革试点的实施意见  国发 [</w:t>
      </w:r>
      <w:r>
        <w:rPr>
          <w:rFonts w:ascii="宋体" w:hAnsi="宋体" w:cs="宋体"/>
        </w:rPr>
        <w:t>2018</w:t>
      </w:r>
      <w:r>
        <w:rPr>
          <w:rFonts w:hint="eastAsia" w:ascii="宋体" w:hAnsi="宋体" w:cs="宋体"/>
        </w:rPr>
        <w:t>]</w:t>
      </w:r>
      <w:r>
        <w:rPr>
          <w:rFonts w:ascii="宋体" w:hAnsi="宋体" w:cs="宋体"/>
        </w:rPr>
        <w:t xml:space="preserve"> </w:t>
      </w:r>
      <w:r>
        <w:rPr>
          <w:rFonts w:hint="eastAsia" w:ascii="宋体" w:hAnsi="宋体" w:cs="宋体"/>
        </w:rPr>
        <w:t>23号</w:t>
      </w:r>
    </w:p>
    <w:p>
      <w:pPr>
        <w:rPr>
          <w:rFonts w:hint="eastAsia" w:ascii="宋体" w:hAnsi="宋体" w:cs="宋体"/>
        </w:rPr>
      </w:pPr>
      <w:r>
        <w:rPr>
          <w:rFonts w:hint="eastAsia" w:ascii="宋体" w:hAnsi="宋体" w:cs="宋体"/>
        </w:rPr>
        <w:t>2.《关于省属事业单位转制为企业有关问题的处理意见》的通知   鲁政办字 [</w:t>
      </w:r>
      <w:r>
        <w:rPr>
          <w:rFonts w:ascii="宋体" w:hAnsi="宋体" w:cs="宋体"/>
        </w:rPr>
        <w:t>201</w:t>
      </w:r>
      <w:r>
        <w:rPr>
          <w:rFonts w:hint="eastAsia" w:ascii="宋体" w:hAnsi="宋体" w:cs="宋体"/>
        </w:rPr>
        <w:t>9]</w:t>
      </w:r>
      <w:r>
        <w:rPr>
          <w:rFonts w:ascii="宋体" w:hAnsi="宋体" w:cs="宋体"/>
        </w:rPr>
        <w:t xml:space="preserve"> </w:t>
      </w:r>
      <w:r>
        <w:rPr>
          <w:rFonts w:hint="eastAsia" w:ascii="宋体" w:hAnsi="宋体" w:cs="宋体"/>
        </w:rPr>
        <w:t>18号</w:t>
      </w:r>
    </w:p>
    <w:p>
      <w:pPr>
        <w:rPr>
          <w:rFonts w:hint="eastAsia" w:ascii="宋体" w:hAnsi="宋体" w:cs="宋体"/>
        </w:rPr>
      </w:pPr>
      <w:r>
        <w:rPr>
          <w:rFonts w:hint="eastAsia" w:ascii="宋体" w:hAnsi="宋体" w:cs="宋体"/>
        </w:rPr>
        <w:t xml:space="preserve">3.山东省教育厅关于推进高等学校所属企业体制改革的通知  </w:t>
      </w:r>
      <w:r>
        <w:rPr>
          <w:rFonts w:ascii="宋体" w:hAnsi="宋体" w:cs="宋体"/>
        </w:rPr>
        <w:t>鲁</w:t>
      </w:r>
      <w:r>
        <w:rPr>
          <w:rFonts w:hint="eastAsia" w:ascii="宋体" w:hAnsi="宋体" w:cs="宋体"/>
        </w:rPr>
        <w:t>教</w:t>
      </w:r>
      <w:r>
        <w:rPr>
          <w:rFonts w:ascii="宋体" w:hAnsi="宋体" w:cs="宋体"/>
        </w:rPr>
        <w:t>财</w:t>
      </w:r>
      <w:r>
        <w:rPr>
          <w:rFonts w:hint="eastAsia" w:ascii="宋体" w:hAnsi="宋体" w:cs="宋体"/>
        </w:rPr>
        <w:t>函 [</w:t>
      </w:r>
      <w:r>
        <w:rPr>
          <w:rFonts w:ascii="宋体" w:hAnsi="宋体" w:cs="宋体"/>
        </w:rPr>
        <w:t>201</w:t>
      </w:r>
      <w:r>
        <w:rPr>
          <w:rFonts w:hint="eastAsia" w:ascii="宋体" w:hAnsi="宋体" w:cs="宋体"/>
        </w:rPr>
        <w:t>9]</w:t>
      </w:r>
      <w:r>
        <w:rPr>
          <w:rFonts w:ascii="宋体" w:hAnsi="宋体" w:cs="宋体"/>
        </w:rPr>
        <w:t xml:space="preserve"> </w:t>
      </w:r>
      <w:r>
        <w:rPr>
          <w:rFonts w:hint="eastAsia" w:ascii="宋体" w:hAnsi="宋体" w:cs="宋体"/>
        </w:rPr>
        <w:t>32</w:t>
      </w:r>
      <w:r>
        <w:rPr>
          <w:rFonts w:ascii="宋体" w:hAnsi="宋体" w:cs="宋体"/>
        </w:rPr>
        <w:t>号</w:t>
      </w:r>
    </w:p>
    <w:p>
      <w:pPr>
        <w:rPr>
          <w:rFonts w:hint="eastAsia" w:ascii="宋体" w:hAnsi="宋体" w:cs="宋体"/>
        </w:rPr>
      </w:pPr>
      <w:r>
        <w:rPr>
          <w:rFonts w:hint="eastAsia" w:ascii="宋体" w:hAnsi="宋体" w:cs="宋体"/>
        </w:rPr>
        <w:t>4.山东省教育厅关于做好厅属高校所属企业工资决定机制改革有关工作的通知  鲁教财函</w:t>
      </w:r>
      <w:r>
        <w:rPr>
          <w:rFonts w:ascii="宋体" w:hAnsi="宋体" w:cs="宋体"/>
        </w:rPr>
        <w:t xml:space="preserve"> [20</w:t>
      </w:r>
      <w:r>
        <w:rPr>
          <w:rFonts w:hint="eastAsia" w:ascii="宋体" w:hAnsi="宋体" w:cs="宋体"/>
        </w:rPr>
        <w:t>19</w:t>
      </w:r>
      <w:r>
        <w:rPr>
          <w:rFonts w:ascii="宋体" w:hAnsi="宋体" w:cs="宋体"/>
        </w:rPr>
        <w:t>]</w:t>
      </w:r>
      <w:r>
        <w:rPr>
          <w:rFonts w:hint="eastAsia" w:ascii="宋体" w:hAnsi="宋体" w:cs="宋体"/>
        </w:rPr>
        <w:t xml:space="preserve"> 32</w:t>
      </w:r>
      <w:r>
        <w:rPr>
          <w:rFonts w:ascii="宋体" w:hAnsi="宋体" w:cs="宋体"/>
        </w:rPr>
        <w:t xml:space="preserve"> </w:t>
      </w:r>
      <w:r>
        <w:rPr>
          <w:rFonts w:hint="eastAsia" w:ascii="宋体" w:hAnsi="宋体" w:cs="宋体"/>
        </w:rPr>
        <w:t>号</w:t>
      </w:r>
    </w:p>
    <w:p>
      <w:pPr>
        <w:rPr>
          <w:rFonts w:hint="eastAsia" w:ascii="宋体" w:hAnsi="宋体" w:cs="宋体"/>
        </w:rPr>
      </w:pPr>
      <w:r>
        <w:rPr>
          <w:rFonts w:hint="eastAsia" w:ascii="宋体" w:hAnsi="宋体" w:cs="宋体"/>
        </w:rPr>
        <w:t>5.国务院办公厅关于转发国有资产监督管理委员会《关于进一步规范国有企业改制工作的实施意见》的通知   国办发 [</w:t>
      </w:r>
      <w:r>
        <w:rPr>
          <w:rFonts w:ascii="宋体" w:hAnsi="宋体" w:cs="宋体"/>
        </w:rPr>
        <w:t>20</w:t>
      </w:r>
      <w:r>
        <w:rPr>
          <w:rFonts w:hint="eastAsia" w:ascii="宋体" w:hAnsi="宋体" w:cs="宋体"/>
        </w:rPr>
        <w:t>05] 60号</w:t>
      </w:r>
    </w:p>
    <w:p>
      <w:pPr>
        <w:rPr>
          <w:rFonts w:hint="eastAsia" w:ascii="宋体" w:hAnsi="宋体" w:cs="宋体"/>
        </w:rPr>
      </w:pPr>
    </w:p>
    <w:p>
      <w:pPr>
        <w:rPr>
          <w:rFonts w:ascii="楷体" w:hAnsi="楷体" w:eastAsia="楷体" w:cs="宋体"/>
          <w:b/>
          <w:bCs/>
          <w:sz w:val="24"/>
        </w:rPr>
      </w:pPr>
      <w:r>
        <w:rPr>
          <w:rFonts w:hint="eastAsia" w:ascii="楷体" w:hAnsi="楷体" w:eastAsia="楷体" w:cs="宋体"/>
          <w:b/>
          <w:bCs/>
          <w:sz w:val="24"/>
        </w:rPr>
        <w:t>（十）科研项目资金管理</w:t>
      </w:r>
    </w:p>
    <w:p>
      <w:pPr>
        <w:ind w:left="105" w:hanging="105" w:hangingChars="50"/>
        <w:rPr>
          <w:rFonts w:ascii="宋体" w:hAnsi="宋体" w:cs="宋体"/>
        </w:rPr>
      </w:pPr>
      <w:r>
        <w:rPr>
          <w:rFonts w:hint="eastAsia" w:ascii="宋体" w:hAnsi="宋体" w:cs="宋体"/>
        </w:rPr>
        <w:t>1.</w:t>
      </w:r>
      <w:r>
        <w:rPr>
          <w:rFonts w:ascii="宋体" w:hAnsi="宋体" w:cs="宋体"/>
        </w:rPr>
        <w:t>省委办公厅省政府办公厅印发《关于完善财政科研项目资金管理政策的实施意见》的通知</w:t>
      </w:r>
      <w:r>
        <w:rPr>
          <w:rFonts w:hint="eastAsia" w:ascii="宋体" w:hAnsi="宋体" w:cs="宋体"/>
        </w:rPr>
        <w:t xml:space="preserve">  </w:t>
      </w:r>
      <w:r>
        <w:rPr>
          <w:rFonts w:ascii="宋体" w:hAnsi="宋体" w:cs="宋体"/>
        </w:rPr>
        <w:t>鲁办发（2016）71号</w:t>
      </w:r>
      <w:r>
        <w:rPr>
          <w:rFonts w:hint="eastAsia" w:ascii="宋体" w:hAnsi="宋体" w:cs="宋体"/>
        </w:rPr>
        <w:t xml:space="preserve">   </w:t>
      </w:r>
    </w:p>
    <w:p>
      <w:pPr>
        <w:rPr>
          <w:rFonts w:hint="eastAsia" w:ascii="宋体" w:hAnsi="宋体" w:cs="宋体"/>
        </w:rPr>
      </w:pPr>
      <w:r>
        <w:rPr>
          <w:rFonts w:hint="eastAsia" w:ascii="宋体" w:hAnsi="宋体" w:cs="宋体"/>
        </w:rPr>
        <w:t>2.</w:t>
      </w:r>
      <w:r>
        <w:rPr>
          <w:rFonts w:ascii="宋体" w:hAnsi="宋体" w:cs="宋体"/>
        </w:rPr>
        <w:t>中办 国办</w:t>
      </w:r>
      <w:r>
        <w:rPr>
          <w:rFonts w:hint="eastAsia" w:ascii="宋体" w:hAnsi="宋体" w:cs="宋体"/>
        </w:rPr>
        <w:t xml:space="preserve"> </w:t>
      </w:r>
      <w:r>
        <w:rPr>
          <w:rFonts w:ascii="宋体" w:hAnsi="宋体" w:cs="宋体"/>
        </w:rPr>
        <w:t>《关于进一步完善中央财政科研项目资金管理等政策的若干意见》</w:t>
      </w:r>
      <w:r>
        <w:rPr>
          <w:rFonts w:hint="eastAsia" w:ascii="宋体" w:hAnsi="宋体" w:cs="宋体"/>
        </w:rPr>
        <w:t xml:space="preserve">   </w:t>
      </w:r>
      <w:r>
        <w:rPr>
          <w:rFonts w:ascii="宋体" w:hAnsi="宋体" w:cs="宋体"/>
        </w:rPr>
        <w:t>中办发</w:t>
      </w:r>
      <w:r>
        <w:rPr>
          <w:rFonts w:hint="eastAsia" w:ascii="宋体" w:hAnsi="宋体" w:cs="宋体"/>
        </w:rPr>
        <w:t xml:space="preserve"> [</w:t>
      </w:r>
      <w:r>
        <w:rPr>
          <w:rFonts w:ascii="宋体" w:hAnsi="宋体" w:cs="宋体"/>
        </w:rPr>
        <w:t>201</w:t>
      </w:r>
      <w:r>
        <w:rPr>
          <w:rFonts w:hint="eastAsia" w:ascii="宋体" w:hAnsi="宋体" w:cs="宋体"/>
        </w:rPr>
        <w:t>6]</w:t>
      </w:r>
      <w:r>
        <w:rPr>
          <w:rFonts w:ascii="宋体" w:hAnsi="宋体" w:cs="宋体"/>
        </w:rPr>
        <w:t xml:space="preserve"> 50号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（十一）资产报表</w:t>
      </w:r>
    </w:p>
    <w:p>
      <w:pPr>
        <w:rPr>
          <w:rFonts w:hint="eastAsia" w:ascii="宋体" w:hAnsi="宋体" w:cs="宋体"/>
        </w:rPr>
      </w:pPr>
      <w:r>
        <w:rPr>
          <w:rFonts w:hint="eastAsia" w:ascii="宋体" w:hAnsi="宋体" w:cs="宋体"/>
        </w:rPr>
        <w:t>关于印发高等学校执行《政府会计制度-行政事业单位会计科目和报表》的补充规定和衔接规定的通知   财会〔2018〕19号</w:t>
      </w:r>
    </w:p>
    <w:p>
      <w:pPr>
        <w:rPr>
          <w:rFonts w:hint="eastAsia" w:ascii="宋体" w:hAnsi="宋体" w:cs="宋体"/>
        </w:rPr>
      </w:pPr>
    </w:p>
    <w:p>
      <w:pPr>
        <w:rPr>
          <w:rFonts w:hint="eastAsia" w:ascii="楷体" w:hAnsi="楷体" w:eastAsia="楷体" w:cs="宋体"/>
          <w:b/>
          <w:bCs/>
          <w:sz w:val="24"/>
        </w:rPr>
      </w:pPr>
      <w:r>
        <w:rPr>
          <w:rFonts w:hint="eastAsia" w:ascii="楷体" w:hAnsi="楷体" w:eastAsia="楷体" w:cs="宋体"/>
          <w:b/>
          <w:bCs/>
          <w:sz w:val="24"/>
        </w:rPr>
        <w:t>（十二）信息化建设</w:t>
      </w:r>
    </w:p>
    <w:p>
      <w:pPr>
        <w:rPr>
          <w:rFonts w:hint="eastAsia" w:ascii="宋体" w:hAnsi="宋体" w:cs="宋体"/>
        </w:rPr>
      </w:pPr>
      <w:r>
        <w:rPr>
          <w:rFonts w:hint="eastAsia" w:ascii="宋体" w:hAnsi="宋体" w:cs="宋体"/>
        </w:rPr>
        <w:t xml:space="preserve">1.关于进一步做好全省资产信息动态化管理工作的通知  </w:t>
      </w:r>
      <w:r>
        <w:rPr>
          <w:rFonts w:ascii="宋体" w:hAnsi="宋体" w:cs="宋体"/>
        </w:rPr>
        <w:t>鲁财资</w:t>
      </w:r>
      <w:r>
        <w:rPr>
          <w:rFonts w:hint="eastAsia" w:ascii="宋体" w:hAnsi="宋体" w:cs="宋体"/>
        </w:rPr>
        <w:t xml:space="preserve"> [</w:t>
      </w:r>
      <w:r>
        <w:rPr>
          <w:rFonts w:ascii="宋体" w:hAnsi="宋体" w:cs="宋体"/>
        </w:rPr>
        <w:t>201</w:t>
      </w:r>
      <w:r>
        <w:rPr>
          <w:rFonts w:hint="eastAsia" w:ascii="宋体" w:hAnsi="宋体" w:cs="宋体"/>
        </w:rPr>
        <w:t>5]</w:t>
      </w:r>
      <w:r>
        <w:rPr>
          <w:rFonts w:ascii="宋体" w:hAnsi="宋体" w:cs="宋体"/>
        </w:rPr>
        <w:t xml:space="preserve"> </w:t>
      </w:r>
      <w:r>
        <w:rPr>
          <w:rFonts w:hint="eastAsia" w:ascii="宋体" w:hAnsi="宋体" w:cs="宋体"/>
        </w:rPr>
        <w:t>45</w:t>
      </w:r>
      <w:r>
        <w:rPr>
          <w:rFonts w:ascii="宋体" w:hAnsi="宋体" w:cs="宋体"/>
        </w:rPr>
        <w:t>号</w:t>
      </w: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spacing w:line="400" w:lineRule="exact"/>
        <w:ind w:firstLine="520" w:firstLineChars="200"/>
        <w:jc w:val="left"/>
        <w:rPr>
          <w:rFonts w:ascii="方正仿宋简体" w:hAnsi="方正仿宋简体" w:eastAsia="方正仿宋简体" w:cs="方正仿宋简体"/>
          <w:sz w:val="26"/>
          <w:szCs w:val="26"/>
        </w:rPr>
      </w:pPr>
    </w:p>
    <w:p>
      <w:pPr>
        <w:spacing w:line="720" w:lineRule="auto"/>
        <w:jc w:val="center"/>
        <w:rPr>
          <w:rFonts w:ascii="方正仿宋简体" w:hAnsi="方正仿宋简体" w:eastAsia="方正仿宋简体" w:cs="方正仿宋简体"/>
          <w:sz w:val="100"/>
          <w:szCs w:val="100"/>
        </w:rPr>
      </w:pPr>
    </w:p>
    <w:p>
      <w:pPr>
        <w:spacing w:line="720" w:lineRule="auto"/>
        <w:jc w:val="center"/>
        <w:rPr>
          <w:rFonts w:ascii="方正仿宋简体" w:hAnsi="方正仿宋简体" w:eastAsia="方正仿宋简体" w:cs="方正仿宋简体"/>
          <w:sz w:val="100"/>
          <w:szCs w:val="100"/>
        </w:rPr>
      </w:pPr>
    </w:p>
    <w:p>
      <w:pPr>
        <w:spacing w:line="720" w:lineRule="auto"/>
        <w:jc w:val="center"/>
        <w:rPr>
          <w:rFonts w:ascii="方正仿宋简体" w:hAnsi="方正仿宋简体" w:eastAsia="方正仿宋简体" w:cs="方正仿宋简体"/>
          <w:sz w:val="100"/>
          <w:szCs w:val="100"/>
        </w:rPr>
      </w:pPr>
    </w:p>
    <w:p>
      <w:pPr>
        <w:spacing w:line="720" w:lineRule="auto"/>
        <w:jc w:val="center"/>
        <w:rPr>
          <w:rFonts w:ascii="方正仿宋简体" w:hAnsi="方正仿宋简体" w:eastAsia="方正仿宋简体" w:cs="方正仿宋简体"/>
          <w:sz w:val="100"/>
          <w:szCs w:val="100"/>
        </w:rPr>
      </w:pPr>
    </w:p>
    <w:p>
      <w:pPr>
        <w:spacing w:line="720" w:lineRule="auto"/>
        <w:jc w:val="center"/>
        <w:rPr>
          <w:rFonts w:ascii="黑体" w:hAnsi="黑体" w:eastAsia="黑体" w:cs="方正仿宋简体"/>
          <w:sz w:val="100"/>
          <w:szCs w:val="100"/>
        </w:rPr>
      </w:pPr>
      <w:r>
        <w:rPr>
          <w:rFonts w:hint="eastAsia" w:ascii="黑体" w:hAnsi="黑体" w:eastAsia="黑体" w:cs="方正仿宋简体"/>
          <w:sz w:val="100"/>
          <w:szCs w:val="100"/>
        </w:rPr>
        <w:t>一、法律法规</w:t>
      </w:r>
    </w:p>
    <w:p>
      <w:pPr>
        <w:widowControl/>
        <w:shd w:val="clear" w:color="auto" w:fill="FFFFFF"/>
        <w:jc w:val="center"/>
        <w:rPr>
          <w:rFonts w:ascii="楷体_GB2312" w:hAnsi="微软雅黑" w:eastAsia="楷体_GB2312" w:cs="宋体"/>
          <w:b/>
          <w:bCs/>
          <w:color w:val="333333"/>
          <w:kern w:val="0"/>
          <w:sz w:val="52"/>
          <w:szCs w:val="52"/>
        </w:rPr>
      </w:pPr>
      <w:bookmarkStart w:id="0" w:name="_Toc42567721"/>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中华人民共和国国务院令</w:t>
      </w:r>
    </w:p>
    <w:p>
      <w:pPr>
        <w:spacing w:line="400" w:lineRule="exact"/>
        <w:ind w:firstLine="520" w:firstLineChars="200"/>
        <w:jc w:val="left"/>
        <w:rPr>
          <w:rFonts w:ascii="方正仿宋简体" w:hAnsi="方正仿宋简体" w:eastAsia="方正仿宋简体" w:cs="方正仿宋简体"/>
          <w:sz w:val="26"/>
          <w:szCs w:val="26"/>
        </w:rPr>
      </w:pP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第 427 号</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《财政违法行为处罚处分条例》已经2004年11月5日国务院第69次常务会议通过，现予公布，自2005年2月1日起施行。</w:t>
      </w:r>
    </w:p>
    <w:p>
      <w:pPr>
        <w:spacing w:line="400" w:lineRule="exact"/>
        <w:ind w:firstLine="5200" w:firstLineChars="20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总 理  温家宝        </w:t>
      </w:r>
    </w:p>
    <w:p>
      <w:pPr>
        <w:spacing w:line="400" w:lineRule="exact"/>
        <w:ind w:firstLine="4680" w:firstLineChars="18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二○○四年十一月三十日   </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财政违法行为处罚处分条例</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为了纠正财政违法行为，维护国家财政经济秩序，制定本条例。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县级以上人民政府财政部门及审计机关在各自职权范围内，依法对财政违法行为作出处理、处罚决定。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省级以上人民政府财政部门的派出机构，应当在规定职权范围内，依法对财政违法行为作出处理、处罚决定；审计机关的派出机构，应当根据审计机关的授权，依法对财政违法行为作出处理、处罚决定。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根据需要，国务院可以依法调整财政部门及其派出机构(以下统称财政部门)、审计机关及其派出机构(以下统称审计机关)的职权范围。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有财政违法行为的单位，其直接负责的主管人员和其他直接责任人员，以及有财政违法行为的个人，属于国家公务员的，由监察机关及其派出机构(以下统称监察机关)或者任免机关依照人事管理权限，依法给予行政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财政收入执收单位及其工作人员有下列违反国家财政收入管理规定的行为之一的，责令改正，补收应当收取的财政收入，限期退还违法所得。对单位给予警告或者通报批评。对直接负责的主管人员和其他直接责任人员给予警告、记过或者记大过处分；情节严重的，给予降级或者撤职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(一)违反规定设立财政收入项目；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(二)违反规定擅自改变财政收入项目的范围、标准、对象和期限；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(三)对已明令取消、暂停执行或者降低标准的财政收入项目，仍然依照原定项目、标准征收或者变换名称征收；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(四)缓收、不收财政收入；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(五)擅自将预算收入转为预算外收入；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(六)其他违反国家财政收入管理规定的行为。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《中华人民共和国税收征收管理法》等法律、行政法规另有规定的，依照其规定给予行政处分。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财政收入执收单位及其工作人员有下列违反国家财政收入上缴规定的行为之一的，责令改正，调整有关会计账目，收缴应当上缴的财政收入，限期退还违法所得。对单位给予警告或者通报批评。对直接负责的主管人员和其他直接责任人员给予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(一)隐瞒应当上缴的财政收入；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(二)滞留、截留、挪用应当上缴的财政收入；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(三)坐支应当上缴的财政收入；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(四)不依照规定的财政收入预算级次、预算科目入库；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(五)违反规定退付国库库款或者财政专户资金；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(六)其他违反国家财政收入上缴规定的行为。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《中华人民共和国税收征收管理法》、《中华人民共和国预算法》等法律、行政法规另有规定的，依照其规定给予行政处分。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财政部门、国库机构及其工作人员有下列违反国家有关上解、下拨财政资金规定的行为之一的，责令改正，限期退还违法所得。对单位给予警告或者通报批评。对直接负责的主管人员和其他直接责任人员给予记过或者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(一)延解、占压应当上解的财政收入；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(二)不依照预算或者用款计划核拨财政资金；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(三)违反规定收纳、划分、留解、退付国库库款或者财政专户资金；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(四)将应当纳入国库核算的财政收入放在财政专户核算；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(五)擅自动用国库库款或者财政专户资金；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(六)其他违反国家有关上解、下拨财政资金规定的行为。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国家机关及其工作人员有下列违反规定使用、骗取财政资金的行为之一的，责令改正，调整有关会计账目，追回有关财政资金，限期退还违法所得。对单位给予警告或者通报批评。对直接负责的主管人员和其他直接责任人员给予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(一)以虚报、冒领等手段骗取财政资金；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(二)截留、挪用财政资金；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(三)滞留应当下拨的财政资金；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(四)违反规定扩大开支范围，提高开支标准；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(五)其他违反规定使用、骗取财政资金的行为。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财政预决算的编制部门和预算执行部门及其工作人员有下列违反国家有关预算管理规定的行为之一的，责令改正，追回有关款项，限期调整有关预算科目和预算级次。对单位给予警告或者通报批评。对直接负责的主管人员和其他直接责任人员给予警告、记过或者记大过处分；情节较重的，给予降级处分；情节严重的，给予撤职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(一)虚增、虚减财政收入或者财政支出；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(二)违反规定编制、批复预算或者决算；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(三)违反规定调整预算；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(四)违反规定调整预算级次或者预算收支种类；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(五)违反规定动用预算预备费或者挪用预算周转金；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(六)违反国家关于转移支付管理规定的行为；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(七)其他违反国家有关预算管理规定的行为。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国家机关及其工作人员违反国有资产管理的规定，擅自占有、使用、处置国有资产的，责令改正，调整有关会计账目，限期退还违法所得和被侵占的国有资产。对单位给予警告或者通报批评。对直接负责的主管人员和其他直接责任人员给予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(一)截留、挪用国家建设资金；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(二)以虚报、冒领、关联交易等手段骗取国家建设资金；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(三)违反规定超概算投资；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(四)虚列投资完成额；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(五)其他违反国家投资建设项目有关规定的行为。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《中华人民共和国政府采购法》、《中华人民共和国招标投标法》、《国家重点建设项目管理办法》等法律、行政法规另有规定的，依照其规定处理、处罚。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国家机关及其工作人员违反《中华人民共和国担保法》及国家有关规定，擅自提供担保的，责令改正，没收违法所得。对单位给予警告或者通报批评。对直接负责的主管人员和其他直接责任人员给予警告、记过或者记大过处分；造成损失的，给予降级或者撤职处分；造成重大损失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国家机关及其工作人员违反国家有关账户管理规定，擅自在金融机构开立、使用账户的，责令改正，调整有关会计账目，追回有关财政资金，没收违法所得，依法撤销擅自开立的账户。对单位给予警告或者通报批评。对直接负责的主管人员和其他直接责任人员给予降级处分；情节严重的，给予撤职或者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国家机关及其工作人员有下列行为之一的，责令改正，调整有关会计账目，追回被挪用、骗取的有关资金，没收违法所得。对单位给予警告或者通报批评。对直接负责的主管人员和其他直接责任人员给予降级处分；情节较重的，给予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(一)以虚报、冒领等手段骗取政府承贷或者担保的外国政府贷款、国际金融组织贷款；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(二)滞留政府承贷或者担保的外国政府贷款、国际金融组织贷款；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(三)截留、挪用政府承贷或者担保的外国政府贷款、国际金融组织贷款；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(四)其他违反规定使用、骗取政府承贷或者担保的外国政府贷款、国际金融组织贷款的行为。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企业和个人有下列不缴或者少缴财政收入行为之一的，责令改正，调整有关会计账目，收缴应当上缴的财政收入，给予警告，没收违法所得，并处不缴或者少缴财政收入10%以上30%以下的罚款；对直接负责的主管人员和其他直接责任人员处3000元以上5万元以下的罚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(一)隐瞒应当上缴的财政收入；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(二)截留代收的财政收入；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(三)其他不缴或者少缴财政收入的行为。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属于税收方面的违法行为，依照有关税收法律、行政法规的规定处理、处罚。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企业和个人有下列行为之一的，责令改正，调整有关会计账目，追回违反规定使用、骗取的有关资金，给予警告，没收违法所得，并处被骗取有关资金10%以上50%以下的罚款或者被违规使用有关资金10%以上30%以下的罚款；对直接负责的主管人员和其他直接责任人员处3000元以上5万元以下的罚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(一)以虚报、冒领等手段骗取财政资金以及政府承贷或者担保的外国政府贷款、国际金融组织贷款；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(二)挪用财政资金以及政府承贷或者担保的外国政府贷款、国际金融组织贷款；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(三)从无偿使用的财政资金以及政府承贷或者担保的外国政府贷款、国际金融组织贷款中非法获益；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(四)其他违反规定使用、骗取财政资金以及政府承贷或者担保的外国政府贷款、国际金融组织贷款的行为。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属于政府采购方面的违法行为，依照《中华人民共和国政府采购法》及有关法律、行政法规的规定处理、处罚。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第十五条 </w:t>
      </w:r>
      <w:r>
        <w:rPr>
          <w:rFonts w:hint="eastAsia" w:ascii="方正仿宋简体" w:hAnsi="方正仿宋简体" w:eastAsia="方正仿宋简体" w:cs="方正仿宋简体"/>
          <w:sz w:val="26"/>
          <w:szCs w:val="26"/>
        </w:rPr>
        <w:t>事业单位、社会团体、其他社会组织及其工作人员有财政违法行为的，依照本条例有关国家机关的规定执行；但其在经营活动中的财政违法行为，依照本条例第十三条、第十四条的规定执行。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单位和个人有下列违反财政收入票据管理规定的行为之一的，销毁非法印制的票据，没收违法所得和作案工具。对单位处5000元以上10万元以下的罚款；对直接负责的主管人员和其他直接责任人员处3000元以上5万元以下的罚款。属于国家公务员的，还应当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(一)违反规定印制财政收入票据；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(二)转借、串用、代开财政收入票据；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(三)伪造、变造、买卖、擅自销毁财政收入票据；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(四)伪造、使用伪造的财政收入票据监(印)制章；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(五)其他违反财政收入票据管理规定的行为。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属于税收收入票据管理方面的违法行为，依照有关税收法律、行政法规的规定处理、处罚。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单位和个人违反财务管理的规定，私存私放财政资金或者其他公款的，责令改正，调整有关会计账目，追回私存私放的资金，没收违法所得。对单位处3000元以上5万元以下的罚款；对直接负责的主管人员和其他直接责任人员处2000元以上2万元以下的罚款。属于国家公务员的，还应当给予记大过处分；情节严重的，给予降级或者撤职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属于会计方面的违法行为，依照会计方面的法律、行政法规的规定处理、处罚。对其直接负责的主管人员和其他直接责任人员，属于国家公务员的，还应当给予警告、记过或者记大过处分；情节较重的，给予降级或者撤职处分；情节严重的，给予开除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属于行政性收费方面的违法行为，《中华人民共和国行政许可法》、《违反行政事业性收费和罚没收入收支两条线管理规定行政处分暂行规定》等法律、行政法规及国务院另有规定的，有关部门依照其规定处理、处罚、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单位和个人有本条例规定的财政违法行为，构成犯罪的，依法追究刑事责任。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财政部门、审计机关、监察机关依法进行调查或者检查时，被调查、检查的单位和个人应当予以配合，如实反映情况，不得拒绝、阻挠、拖延。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违反前款规定的，责令限期改正。逾期不改正的，对属于国家公务员的直接负责的主管人员和其他直接责任人员，给予警告、记过或者记大过处分；情节严重的，给予降级或者撤职处分。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财政部门、审计机关、监察机关依法进行调查或者检查时，经县级以上人民政府财政部门、审计机关、监察机关的负责人批准，可以向与被调查、检查单位有经济业务往来的单位查询有关情况，可以向金融机构查询被调查、检查单位的存款，有关单位和金融机构应当配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门、审计机关、监察机关在依法进行调查或者检查时，执法人员不得少于2人，并应当向当事人或者有关人员出示证件；查询存款时，还应当持有县级以上人民政府财政部门、审计机关、监察机关签发的查询存款通知书，并负有保密义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财政部门、审计机关、监察机关依法进行调查或者检查时，在有关证据可能灭失或者以后难以取得的情况下，经县级以上人民政府财政部门、审计机关、监察机关的负责人批准，可以先行登记保存，并应当在7日内及时作出处理决定。在此期间，当事人或者有关人员不得销毁或者转移证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对被调查、检查单位或者个人正在进行的财政违法行为，财政部门、审计机关应当责令停止。拒不执行的，财政部门可以暂停财政拨款或者停止拨付与财政违法行为直接有关的款项，已经拨付的，责令其暂停使用；审计机关可以通知财政部门或者其他有关主管部门暂停财政拨款或者停止拨付与财政违法行为直接有关的款项，已经拨付的，责令其暂停使用，财政部门和其他有关主管部门应当将结果书面告知审计机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依照本条例规定限期退还的违法所得，到期无法退还的，应当收缴国库。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单位和个人有本条例所列财政违法行为，财政部门、审计机关、监察机关可以公告其财政违法行为及处理、处罚、处分决定。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单位和个人有本条例所列财政违法行为，弄虚作假骗取荣誉称号及其他有关奖励的，应当撤销其荣誉称号并收回有关奖励。</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财政部门、审计机关、监察机关的工作人员滥用职权、玩忽职守、徇私舞弊的，给予警告、记过或者记大过处分；情节较重的，给予降级或者撤职处分；情节严重的，给予开除处分。构成犯罪的，依法追究刑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财政部门、审计机关、监察机关及其他有关监督检查机关对有关单位或者个人依法进行调查、检查后，应当出具调查、检查结论。有关监督检查机关已经作出的调查、检查结论能够满足其他监督检查机关履行本机关职责需要的，其他监督检查机关应当加以利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财政部门、审计机关、监察机关及其他有关机关应当加强配合，对不属于其职权范围的事项，应当依法移送。受移送机关应当及时处理，并将结果书面告知移送机关。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对财政违法行为作出处理、处罚和处分决定的程序，依照本条例和《中华人民共和国行政处罚法》、《中华人民共和国行政监察法》等有关法律、行政法规的规定执行。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第三十二条</w:t>
      </w:r>
      <w:r>
        <w:rPr>
          <w:rFonts w:hint="eastAsia" w:ascii="方正仿宋简体" w:hAnsi="方正仿宋简体" w:eastAsia="方正仿宋简体" w:cs="方正仿宋简体"/>
          <w:sz w:val="26"/>
          <w:szCs w:val="26"/>
        </w:rPr>
        <w:t xml:space="preserve"> 单位和个人对处理、处罚不服的，依照《中华人民共和国行政复议法》、《中华人民共和国行政诉讼法》的规定申请复议或者提起诉讼。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国家公务员对行政处分不服的，依照《中华人民共和国行政监察法》、《国家公务员暂行条例》等法律、行政法规的规定提出申诉。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本条例所称“财政收入执收单位”，是指负责收取税收收入和各种非税收入的单位。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对法律、法规授权的具有管理公共事务职能的组织以及国家行政机关依法委托的组织及其工勤人员以外的工作人员，企业、事业单位、社会团体中由国家行政机关以委任、派遣等形式任命的人员以及其他人员有本条例规定的财政违法行为，需要给予处分的，参照本条例有关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本条例自2005年2月1日起施行。1987年6月16日国务院发布的《国务院关于违反财政法规处罚的暂行规定》同时废止。</w:t>
      </w: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中华人民共和国主席令</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 五 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《中华人民共和国企业国有资产法》已由中华人民共和国第十一届全国人民代表大会常务委员会第五次会议于2008年10月28日通过，现予公布，自2009年5月1日起施行。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中华人民共和国主席 胡锦涛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2008年10月28日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中华人民共和国企业国有资产法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（2008年10月28日第十一届全国人民代表大会常务委员会第五次会议通过）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目  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第一章 总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第二章 履行出资人职责的机构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第三章 国家出资企业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第四章 国家出资企业管理者的选择与考核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第五章 关系国有资产出资人权益的重大事项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第一节 一般规定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第二节 企业改制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第三节 与关联方的交易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第四节 资产评估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第五节 国有资产转让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第六章 国有资本经营预算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第七章 国有资产监督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第八章 法律责任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第九章 附  则</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为了维护国家基本经济制度，巩固和发展国有经济，加强对国有资产的保护，发挥国有经济在国民经济中的主导作用，促进社会主义市场经济发展，制定本法。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第二条 </w:t>
      </w:r>
      <w:r>
        <w:rPr>
          <w:rFonts w:hint="eastAsia" w:ascii="方正仿宋简体" w:hAnsi="方正仿宋简体" w:eastAsia="方正仿宋简体" w:cs="方正仿宋简体"/>
          <w:sz w:val="26"/>
          <w:szCs w:val="26"/>
        </w:rPr>
        <w:t>本法所称企业国有资产（以下称国有资产），是指国家对企业各种形式的出资所形成的权益。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国有资产属于国家所有即全民所有。国务院代表国家行使国有资产所有权。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国务院和地方人民政府依照法律、行政法规的规定，分别代表国家对国家出资企业履行出资人职责，享有出资人权益。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务院确定的关系国民经济命脉和国家安全的大型国家出资企业，重要基础设施和重要自然资源等领域的国家出资企业，由国务院代表国家履行出资人职责。其他的国家出资企业，由地方人民政府代表国家履行出资人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本法所称国家出资企业，是指国家出资的国有独资企业、国有独资公司，以及国有资本控股公司、国有资本参股公司。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国务院和地方人民政府应当按照政企分开、社会公共管理职能与国有资产出资人职能分开、不干预企业依法自主经营的原则，依法履行出资人职责。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国家采取措施，推动国有资本向关系国民经济命脉和国家安全的重要行业和关键领域集中，优化国有经济布局和结构，推进国有企业的改革和发展，提高国有经济的整体素质，增强国有经济的控制力、影响力。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国家建立健全与社会主义市场经济发展要求相适应的国有资产管理与监督体制，建立健全国有资产保值增值考核和责任追究制度，落实国有资产保值增值责任。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国家建立健全国有资产基础管理制度。具体办法按照国务院的规定制定。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国有资产受法律保护，任何单位和个人不得侵害。</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履行出资人职责的机构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国务院国有资产监督管理机构和地方人民政府按照国务院的规定设立的国有资产监督管理机构，根据本级人民政府的授权，代表本级人民政府对国家出资企业履行出资人职责。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国务院和地方人民政府根据需要，可以授权其他部门、机构代表本级人民政府对国家出资企业履行出资人职责。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代表本级人民政府履行出资人职责的机构、部门，以下统称履行出资人职责的机构。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履行出资人职责的机构代表本级人民政府对国家出资企业依法享有资产收益、参与重大决策和选择管理者等出资人权利。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履行出资人职责的机构依照法律、行政法规的规定，制定或者参与制定国家出资企业的章程。</w:t>
      </w:r>
    </w:p>
    <w:p>
      <w:pPr>
        <w:spacing w:line="400" w:lineRule="exact"/>
        <w:ind w:firstLine="520" w:firstLineChars="200"/>
        <w:jc w:val="left"/>
        <w:rPr>
          <w:rFonts w:ascii="楷体" w:hAnsi="楷体" w:eastAsia="楷体" w:cs="楷体"/>
          <w:sz w:val="26"/>
          <w:szCs w:val="26"/>
        </w:rPr>
      </w:pPr>
      <w:r>
        <w:rPr>
          <w:rFonts w:hint="eastAsia" w:ascii="方正仿宋简体" w:hAnsi="方正仿宋简体" w:eastAsia="方正仿宋简体" w:cs="方正仿宋简体"/>
          <w:sz w:val="26"/>
          <w:szCs w:val="26"/>
        </w:rPr>
        <w:t>履行出资人职责的机构对法律、行政法规和本级人民政府规定须经本级人民政府批准的履行出资人职责的重大事项，应当报请本级人民政府批准。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履行出资人职责的机构委派的股东代表参加国有资本控股公司、国有资本参股公司召开的股东会会议、股东大会会议，应当按照委派机构的指示提出提案、发表意见、行使表决权，并将其履行职责的情况和结果及时报告委派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履行出资人职责的机构应当依照法律、行政法规以及企业章程履行出资人职责，保障出资人权益，防止国有资产损失。</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履行出资人职责的机构应当维护企业作为市场主体依法享有的权利，除依法履行出资人职责外，不得干预企业经营活动。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履行出资人职责的机构对本级人民政府负责，向本级人民政府报告履行出资人职责的情况，接受本级人民政府的监督和考核，对国有资产的保值增值负责。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履行出资人职责的机构应当按照国家有关规定，定期向本级人民政府报告有关国有资产总量、结构、变动、收益等汇总分析的情况。</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国家出资企业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国家出资企业对其动产、不动产和其他财产依照法律、行政法规以及企业章程享有占有、使用、收益和处分的权利。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国家出资企业依法享有的经营自主权和其他合法权益受法律保护。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国家出资企业从事经营活动，应当遵守法律、行政法规，加强经营管理，提高经济效益，接受人民政府及其有关部门、机构依法实施的管理和监督，接受社会公众的监督，承担社会责任，对出资人负责。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国家出资企业应当依法建立和完善法人治理结构，建立健全内部监督管理和风险控制制度。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国家出资企业应当依照法律、行政法规和国务院财政部门的规定，建立健全财务、会计制度，设置会计账簿，进行会计核算，依照法律、行政法规以及企业章程的规定向出资人提供真实、完整的财务、会计信息。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国家出资企业应当依照法律、行政法规以及企业章程的规定，向出资人分配利润。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国有独资公司、国有资本控股公司和国有资本参股公司依照《中华人民共和国公司法》的规定设立监事会。国有独资企业由履行出资人职责的机构按照国务院的规定委派监事组成监事会。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国家出资企业的监事会依照法律、行政法规以及企业章程的规定，对董事、高级管理人员执行职务的行为进行监督，对企业财务进行监督检查。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国家出资企业依照法律规定，通过职工代表大会或者其他形式，实行民主管理。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国家出资企业对其所出资企业依法享有资产收益、参与重大决策和选择管理者等出资人权利。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国家出资企业对其所出资企业，应当依照法律、行政法规的规定，通过制定或者参与制定所出资企业的章程，建立权责明确、有效制衡的企业内部监督管理和风险控制制度，维护其出资人权益。</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国家出资企业管理者的选择与考核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履行出资人职责的机构依照法律、行政法规以及企业章程的规定，任免或者建议任免国家出资企业的下列人员：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（一）任免国有独资企业的经理、副经理、财务负责人和其他高级管理人员；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（二）任免国有独资公司的董事长、副董事长、董事、监事会主席和监事；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（三）向国有资本控股公司、国有资本参股公司的股东会、股东大会提出董事、监事人选。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国家出资企业中应当由职工代表出任的董事、监事，依照有关法律、行政法规的规定由职工民主选举产生。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履行出资人职责的机构任命或者建议任命的董事、监事、高级管理人员，应当具备下列条件：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（一）有良好的品行；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（二）有符合职位要求的专业知识和工作能力；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（三）有能够正常履行职责的身体条件；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（四）法律、行政法规规定的其他条件。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董事、监事、高级管理人员在任职期间出现不符合前款规定情形或者出现《中华人民共和国公司法》规定的不得担任公司董事、监事、高级管理人员情形的，履行出资人职责的机构应当依法予以免职或者提出免职建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履行出资人职责的机构对拟任命或者建议任命的董事、监事、高级管理人员的人选，应当按照规定的条件和程序进行考察。考察合格的，按照规定的权限和程序任命或者建议任命。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第二十五条 </w:t>
      </w:r>
      <w:r>
        <w:rPr>
          <w:rFonts w:hint="eastAsia" w:ascii="方正仿宋简体" w:hAnsi="方正仿宋简体" w:eastAsia="方正仿宋简体" w:cs="方正仿宋简体"/>
          <w:sz w:val="26"/>
          <w:szCs w:val="26"/>
        </w:rPr>
        <w:t>未经履行出资人职责的机构同意，国有独资企业、国有独资公司的董事、高级管理人员不得在其他企业兼职。未经股东会、股东大会同意，国有资本控股公司、国有资本参股公司的董事、高级管理人员不得在经营同类业务的其他企业兼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未经履行出资人职责的机构同意，国有独资公司的董事长不得兼任经理。未经股东会、股东大会同意，国有资本控股公司的董事长不得兼任经理。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董事、高级管理人员不得兼任监事。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国家出资企业的董事、监事、高级管理人员，应当遵守法律、行政法规以及企业章程，对企业负有忠实义务和勤勉义务，不得利用职权收受贿赂或者取得其他非法收入和不当利益，不得侵占、挪用企业资产，不得超越职权或者违反程序决定企业重大事项，不得有其他侵害国有资产出资人权益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国家建立国家出资企业管理者经营业绩考核制度。履行出资人职责的机构应当对其任命的企业管理者进行年度和任期考核，并依据考核结果决定对企业管理者的奖惩。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履行出资人职责的机构应当按照国家有关规定，确定其任命的国家出资企业管理者的薪酬标准。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第二十八条 </w:t>
      </w:r>
      <w:r>
        <w:rPr>
          <w:rFonts w:hint="eastAsia" w:ascii="方正仿宋简体" w:hAnsi="方正仿宋简体" w:eastAsia="方正仿宋简体" w:cs="方正仿宋简体"/>
          <w:sz w:val="26"/>
          <w:szCs w:val="26"/>
        </w:rPr>
        <w:t>国有独资企业、国有独资公司和国有资本控股公司的主要负责人，应当接受依法进行的任期经济责任审计。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本法第二十二条第一款第一项、第二项规定的企业管理者，国务院和地方人民政府规定由本级人民政府任免的，依照其规定。履行出资人职责的机构依照本章规定对上述企业管理者进行考核、奖惩并确定其薪酬标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关系国有资产出资人权益的重大事项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第一节</w:t>
      </w:r>
      <w:r>
        <w:rPr>
          <w:rFonts w:hint="eastAsia" w:ascii="方正仿宋简体" w:hAnsi="方正仿宋简体" w:eastAsia="方正仿宋简体" w:cs="方正仿宋简体"/>
          <w:sz w:val="26"/>
          <w:szCs w:val="26"/>
        </w:rPr>
        <w:t xml:space="preserve"> 一般规定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国家出资企业合并、分立、改制、上市，增加或者减少注册资本，发行债券，进行重大投资，为他人提供大额担保，转让重大财产，进行大额捐赠，分配利润，以及解散、申请破产等重大事项，应当遵守法律、行政法规以及企业章程的规定，不得损害出资人和债权人的权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国有独资企业、国有独资公司合并、分立，增加或者减少注册资本，发行债券，分配利润，以及解散、申请破产，由履行出资人职责的机构决定。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第三十二条 </w:t>
      </w:r>
      <w:r>
        <w:rPr>
          <w:rFonts w:hint="eastAsia" w:ascii="方正仿宋简体" w:hAnsi="方正仿宋简体" w:eastAsia="方正仿宋简体" w:cs="方正仿宋简体"/>
          <w:sz w:val="26"/>
          <w:szCs w:val="26"/>
        </w:rPr>
        <w:t>国有独资企业、国有独资公司有本法第三十条所列事项的，除依照本法第三十一条和有关法律、行政法规以及企业章程的规定，由履行出资人职责的机构决定的以外，国有独资企业由企业负责人集体讨论决定，国有独资公司由董事会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国有资本控股公司、国有资本参股公司有本法第三十条所列事项的，依照法律、行政法规以及公司章程的规定，由公司股东会、股东大会或者董事会决定。由股东会、股东大会决定的，履行出资人职责的机构委派的股东代表应当依照本法第十三条的规定行使权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重要的国有独资企业、国有独资公司、国有资本控股公司的合并、分立、解散、申请破产以及法律、行政法规和本级人民政府规定应当由履行出资人职责的机构报经本级人民政府批准的重大事项，履行出资人职责的机构在作出决定或者向其委派参加国有资本控股公司股东会会议、股东大会会议的股东代表作出指示前，应当报请本级人民政府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本法所称的重要的国有独资企业、国有独资公司和国有资本控股公司，按照国务院的规定确定。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国家出资企业发行债券、投资等事项，有关法律、行政法规规定应当报经人民政府或者人民政府有关部门、机构批准、核准或者备案的，依照其规定。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第三十六条</w:t>
      </w:r>
      <w:r>
        <w:rPr>
          <w:rFonts w:hint="eastAsia" w:ascii="方正仿宋简体" w:hAnsi="方正仿宋简体" w:eastAsia="方正仿宋简体" w:cs="方正仿宋简体"/>
          <w:sz w:val="26"/>
          <w:szCs w:val="26"/>
        </w:rPr>
        <w:t xml:space="preserve"> 国家出资企业投资应当符合国家产业政策，并按照国家规定进行可行性研究；与他人交易应当公平、有偿，取得合理对价。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第三十七条</w:t>
      </w:r>
      <w:r>
        <w:rPr>
          <w:rFonts w:hint="eastAsia" w:ascii="方正仿宋简体" w:hAnsi="方正仿宋简体" w:eastAsia="方正仿宋简体" w:cs="方正仿宋简体"/>
          <w:sz w:val="26"/>
          <w:szCs w:val="26"/>
        </w:rPr>
        <w:t xml:space="preserve"> 国家出资企业的合并、分立、改制、解散、申请破产等重大事项，应当听取企业工会的意见，并通过职工代表大会或者其他形式听取职工的意见和建议。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第三十八条</w:t>
      </w:r>
      <w:r>
        <w:rPr>
          <w:rFonts w:hint="eastAsia" w:ascii="方正仿宋简体" w:hAnsi="方正仿宋简体" w:eastAsia="方正仿宋简体" w:cs="方正仿宋简体"/>
          <w:sz w:val="26"/>
          <w:szCs w:val="26"/>
        </w:rPr>
        <w:t xml:space="preserve"> 国有独资企业、国有独资公司、国有资本控股公司对其所出资企业的重大事项参照本章规定履行出资人职责。具体办法由国务院规定。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第二节</w:t>
      </w:r>
      <w:r>
        <w:rPr>
          <w:rFonts w:hint="eastAsia" w:ascii="方正仿宋简体" w:hAnsi="方正仿宋简体" w:eastAsia="方正仿宋简体" w:cs="方正仿宋简体"/>
          <w:sz w:val="26"/>
          <w:szCs w:val="26"/>
        </w:rPr>
        <w:t xml:space="preserve"> 企业改制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第三十九条 </w:t>
      </w:r>
      <w:r>
        <w:rPr>
          <w:rFonts w:hint="eastAsia" w:ascii="方正仿宋简体" w:hAnsi="方正仿宋简体" w:eastAsia="方正仿宋简体" w:cs="方正仿宋简体"/>
          <w:sz w:val="26"/>
          <w:szCs w:val="26"/>
        </w:rPr>
        <w:t>本法所称企业改制是指：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（一）国有独资企业改为国有独资公司；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（二）国有独资企业、国有独资公司改为国有资本控股公司或者非国有资本控股公司；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（三）国有资本控股公司改为非国有资本控股公司。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第四十条</w:t>
      </w:r>
      <w:r>
        <w:rPr>
          <w:rFonts w:hint="eastAsia" w:ascii="方正仿宋简体" w:hAnsi="方正仿宋简体" w:eastAsia="方正仿宋简体" w:cs="方正仿宋简体"/>
          <w:sz w:val="26"/>
          <w:szCs w:val="26"/>
        </w:rPr>
        <w:t xml:space="preserve"> 企业改制应当依照法定程序，由履行出资人职责的机构决定或者由公司股东会、股东大会决定。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重要的国有独资企业、国有独资公司、国有资本控股公司的改制，履行出资人职责的机构在作出决定或者向其委派参加国有资本控股公司股东会会议、股东大会会议的股东代表作出指示前，应当将改制方案报请本级人民政府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第四十一条 </w:t>
      </w:r>
      <w:r>
        <w:rPr>
          <w:rFonts w:hint="eastAsia" w:ascii="方正仿宋简体" w:hAnsi="方正仿宋简体" w:eastAsia="方正仿宋简体" w:cs="方正仿宋简体"/>
          <w:sz w:val="26"/>
          <w:szCs w:val="26"/>
        </w:rPr>
        <w:t>企业改制应当制定改制方案，载明改制后的企业组织形式、企业资产和债权债务处理方案、股权变动方案、改制的操作程序、资产评估和财务审计等中介机构的选聘等事项。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企业改制涉及重新安置企业职工的，还应当制定职工安置方案，并经职工代表大会或者职工大会审议通过。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第四十二条</w:t>
      </w:r>
      <w:r>
        <w:rPr>
          <w:rFonts w:hint="eastAsia" w:ascii="方正仿宋简体" w:hAnsi="方正仿宋简体" w:eastAsia="方正仿宋简体" w:cs="方正仿宋简体"/>
          <w:sz w:val="26"/>
          <w:szCs w:val="26"/>
        </w:rPr>
        <w:t xml:space="preserve"> 企业改制应当按照规定进行清产核资、财务审计、资产评估，准确界定和核实资产，客观、公正地确定资产的价值。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企业改制涉及以企业的实物、知识产权、土地使用权等非货币财产折算为国有资本出资或者股份的，应当按照规定对折价财产进行评估，以评估确认价格作为确定国有资本出资额或者股份数额的依据。不得将财产低价折股或者有其他损害出资人权益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第三节</w:t>
      </w:r>
      <w:r>
        <w:rPr>
          <w:rFonts w:hint="eastAsia" w:ascii="方正仿宋简体" w:hAnsi="方正仿宋简体" w:eastAsia="方正仿宋简体" w:cs="方正仿宋简体"/>
          <w:sz w:val="26"/>
          <w:szCs w:val="26"/>
        </w:rPr>
        <w:t xml:space="preserve"> 与关联方的交易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第四十三条</w:t>
      </w:r>
      <w:r>
        <w:rPr>
          <w:rFonts w:hint="eastAsia" w:ascii="方正仿宋简体" w:hAnsi="方正仿宋简体" w:eastAsia="方正仿宋简体" w:cs="方正仿宋简体"/>
          <w:sz w:val="26"/>
          <w:szCs w:val="26"/>
        </w:rPr>
        <w:t xml:space="preserve"> 国家出资企业的关联方不得利用与国家出资企业之间的交易，谋取不当利益，损害国家出资企业利益。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本法所称关联方，是指本企业的董事、监事、高级管理人员及其近亲属，以及这些人员所有或者实际控制的企业。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第四十四条</w:t>
      </w:r>
      <w:r>
        <w:rPr>
          <w:rFonts w:hint="eastAsia" w:ascii="方正仿宋简体" w:hAnsi="方正仿宋简体" w:eastAsia="方正仿宋简体" w:cs="方正仿宋简体"/>
          <w:sz w:val="26"/>
          <w:szCs w:val="26"/>
        </w:rPr>
        <w:t xml:space="preserve"> 国有独资企业、国有独资公司、国有资本控股公司不得无偿向关联方提供资金、商品、服务或者其他资产，不得以不公平的价格与关联方进行交易。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第四十五条</w:t>
      </w:r>
      <w:r>
        <w:rPr>
          <w:rFonts w:hint="eastAsia" w:ascii="方正仿宋简体" w:hAnsi="方正仿宋简体" w:eastAsia="方正仿宋简体" w:cs="方正仿宋简体"/>
          <w:sz w:val="26"/>
          <w:szCs w:val="26"/>
        </w:rPr>
        <w:t xml:space="preserve"> 未经履行出资人职责的机构同意，国有独资企业、国有独资公司不得有下列行为：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（一）与关联方订立财产转让、借款的协议；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（二）为关联方提供担保；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（三）与关联方共同出资设立企业，或者向董事、监事、高级管理人员或者其近亲属所有或者实际控制的企业投资。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第四十六条</w:t>
      </w:r>
      <w:r>
        <w:rPr>
          <w:rFonts w:hint="eastAsia" w:ascii="方正仿宋简体" w:hAnsi="方正仿宋简体" w:eastAsia="方正仿宋简体" w:cs="方正仿宋简体"/>
          <w:sz w:val="26"/>
          <w:szCs w:val="26"/>
        </w:rPr>
        <w:t xml:space="preserve"> 国有资本控股公司、国有资本参股公司与关联方的交易，依照《中华人民共和国公司法》和有关行政法规以及公司章程的规定，由公司股东会、股东大会或者董事会决定。由公司股东会、股东大会决定的，履行出资人职责的机构委派的股东代表，应当依照本法第十三条的规定行使权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公司董事会对公司与关联方的交易作出决议时，该交易涉及的董事不得行使表决权，也不得代理其他董事行使表决权。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第四节 </w:t>
      </w:r>
      <w:r>
        <w:rPr>
          <w:rFonts w:hint="eastAsia" w:ascii="方正仿宋简体" w:hAnsi="方正仿宋简体" w:eastAsia="方正仿宋简体" w:cs="方正仿宋简体"/>
          <w:sz w:val="26"/>
          <w:szCs w:val="26"/>
        </w:rPr>
        <w:t>资产评估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第四十七条</w:t>
      </w:r>
      <w:r>
        <w:rPr>
          <w:rFonts w:hint="eastAsia" w:ascii="方正仿宋简体" w:hAnsi="方正仿宋简体" w:eastAsia="方正仿宋简体" w:cs="方正仿宋简体"/>
          <w:sz w:val="26"/>
          <w:szCs w:val="26"/>
        </w:rPr>
        <w:t xml:space="preserve"> 国有独资企业、国有独资公司和国有资本控股公司合并、分立、改制，转让重大财产，以非货币财产对外投资，清算或者有法律、行政法规以及企业章程规定应当进行资产评估的其他情形的，应当按照规定对有关资产进行评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第四十八条</w:t>
      </w:r>
      <w:r>
        <w:rPr>
          <w:rFonts w:hint="eastAsia" w:ascii="方正仿宋简体" w:hAnsi="方正仿宋简体" w:eastAsia="方正仿宋简体" w:cs="方正仿宋简体"/>
          <w:sz w:val="26"/>
          <w:szCs w:val="26"/>
        </w:rPr>
        <w:t xml:space="preserve"> 国有独资企业、国有独资公司和国有资本控股公司应当委托依法设立的符合条件的资产评估机构进行资产评估；涉及应当报经履行出资人职责的机构决定的事项的，应当将委托资产评估机构的情况向履行出资人职责的机构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第四十九条</w:t>
      </w:r>
      <w:r>
        <w:rPr>
          <w:rFonts w:hint="eastAsia" w:ascii="方正仿宋简体" w:hAnsi="方正仿宋简体" w:eastAsia="方正仿宋简体" w:cs="方正仿宋简体"/>
          <w:sz w:val="26"/>
          <w:szCs w:val="26"/>
        </w:rPr>
        <w:t xml:space="preserve"> 国有独资企业、国有独资公司、国有资本控股公司及其董事、监事、高级管理人员应当向资产评估机构如实提供有关情况和资料，不得与资产评估机构串通评估作价。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第五十条</w:t>
      </w:r>
      <w:r>
        <w:rPr>
          <w:rFonts w:hint="eastAsia" w:ascii="方正仿宋简体" w:hAnsi="方正仿宋简体" w:eastAsia="方正仿宋简体" w:cs="方正仿宋简体"/>
          <w:sz w:val="26"/>
          <w:szCs w:val="26"/>
        </w:rPr>
        <w:t xml:space="preserve"> 资产评估机构及其工作人员受托评估有关资产，应当遵守法律、行政法规以及评估执业准则，独立、客观、公正地对受托评估的资产进行评估。资产评估机构应当对其出具的评估报告负责。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第五节</w:t>
      </w:r>
      <w:r>
        <w:rPr>
          <w:rFonts w:hint="eastAsia" w:ascii="方正仿宋简体" w:hAnsi="方正仿宋简体" w:eastAsia="方正仿宋简体" w:cs="方正仿宋简体"/>
          <w:sz w:val="26"/>
          <w:szCs w:val="26"/>
        </w:rPr>
        <w:t xml:space="preserve"> 国有资产转让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第五十一条</w:t>
      </w:r>
      <w:r>
        <w:rPr>
          <w:rFonts w:hint="eastAsia" w:ascii="方正仿宋简体" w:hAnsi="方正仿宋简体" w:eastAsia="方正仿宋简体" w:cs="方正仿宋简体"/>
          <w:sz w:val="26"/>
          <w:szCs w:val="26"/>
        </w:rPr>
        <w:t xml:space="preserve"> 本法所称国有资产转让，是指依法将国家对企业的出资所形成的权益转移给其他单位或者个人的行为；按照国家规定无偿划转国有资产的除外。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第五十二条</w:t>
      </w:r>
      <w:r>
        <w:rPr>
          <w:rFonts w:hint="eastAsia" w:ascii="方正仿宋简体" w:hAnsi="方正仿宋简体" w:eastAsia="方正仿宋简体" w:cs="方正仿宋简体"/>
          <w:sz w:val="26"/>
          <w:szCs w:val="26"/>
        </w:rPr>
        <w:t xml:space="preserve"> 国有资产转让应当有利于国有经济布局和结构的战略性调整，防止国有资产损失，不得损害交易各方的合法权益。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第五十三条</w:t>
      </w:r>
      <w:r>
        <w:rPr>
          <w:rFonts w:hint="eastAsia" w:ascii="方正仿宋简体" w:hAnsi="方正仿宋简体" w:eastAsia="方正仿宋简体" w:cs="方正仿宋简体"/>
          <w:sz w:val="26"/>
          <w:szCs w:val="26"/>
        </w:rPr>
        <w:t xml:space="preserve"> 国有资产转让由履行出资人职责的机构决定。履行出资人职责的机构决定转让全部国有资产的，或者转让部分国有资产致使国家对该企业不再具有控股地位的，应当报请本级人民政府批准。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第五十四条</w:t>
      </w:r>
      <w:r>
        <w:rPr>
          <w:rFonts w:hint="eastAsia" w:ascii="方正仿宋简体" w:hAnsi="方正仿宋简体" w:eastAsia="方正仿宋简体" w:cs="方正仿宋简体"/>
          <w:sz w:val="26"/>
          <w:szCs w:val="26"/>
        </w:rPr>
        <w:t xml:space="preserve"> 国有资产转让应当遵循等价有偿和公开、公平、公正的原则。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除按照国家规定可以直接协议转让的以外，国有资产转让应当在依法设立的产权交易场所公开进行。转让方应当如实披露有关信息，征集受让方；征集产生的受让方为两个以上的，转让应当采用公开竞价的交易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转让上市交易的股份依照《中华人民共和国证券法》的规定进行。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第五十五条</w:t>
      </w:r>
      <w:r>
        <w:rPr>
          <w:rFonts w:hint="eastAsia" w:ascii="方正仿宋简体" w:hAnsi="方正仿宋简体" w:eastAsia="方正仿宋简体" w:cs="方正仿宋简体"/>
          <w:sz w:val="26"/>
          <w:szCs w:val="26"/>
        </w:rPr>
        <w:t xml:space="preserve"> 国有资产转让应当以依法评估的、经履行出资人职责的机构认可或者由履行出资人职责的机构报经本级人民政府核准的价格为依据，合理确定最低转让价格。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第五十六条 </w:t>
      </w:r>
      <w:r>
        <w:rPr>
          <w:rFonts w:hint="eastAsia" w:ascii="方正仿宋简体" w:hAnsi="方正仿宋简体" w:eastAsia="方正仿宋简体" w:cs="方正仿宋简体"/>
          <w:sz w:val="26"/>
          <w:szCs w:val="26"/>
        </w:rPr>
        <w:t>法律、行政法规或者国务院国有资产监督管理机构规定可以向本企业的董事、监事、高级管理人员或者其近亲属，或者这些人员所有或者实际控制的企业转让的国有资产，在转让时，上述人员或者企业参与受让的，应当与其他受让参与者平等竞买；转让方应当按照国家有关规定，如实披露有关信息；相关的董事、监事和高级管理人员不得参与转让方案的制定和组织实施的各项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第五十七条</w:t>
      </w:r>
      <w:r>
        <w:rPr>
          <w:rFonts w:hint="eastAsia" w:ascii="方正仿宋简体" w:hAnsi="方正仿宋简体" w:eastAsia="方正仿宋简体" w:cs="方正仿宋简体"/>
          <w:sz w:val="26"/>
          <w:szCs w:val="26"/>
        </w:rPr>
        <w:t xml:space="preserve"> 国有资产向境外投资者转让的，应当遵守国家有关规定，不得危害国家安全和社会公共利益。</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国有资本经营预算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第五十八条</w:t>
      </w:r>
      <w:r>
        <w:rPr>
          <w:rFonts w:hint="eastAsia" w:ascii="方正仿宋简体" w:hAnsi="方正仿宋简体" w:eastAsia="方正仿宋简体" w:cs="方正仿宋简体"/>
          <w:sz w:val="26"/>
          <w:szCs w:val="26"/>
        </w:rPr>
        <w:t xml:space="preserve"> 国家建立健全国有资本经营预算制度，对取得的国有资本收入及其支出实行预算管理。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第五十九条</w:t>
      </w:r>
      <w:r>
        <w:rPr>
          <w:rFonts w:hint="eastAsia" w:ascii="方正仿宋简体" w:hAnsi="方正仿宋简体" w:eastAsia="方正仿宋简体" w:cs="方正仿宋简体"/>
          <w:sz w:val="26"/>
          <w:szCs w:val="26"/>
        </w:rPr>
        <w:t xml:space="preserve"> 国家取得的下列国有资本收入，以及下列收入的支出，应当编制国有资本经营预算：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（一）从国家出资企业分得的利润；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（二）国有资产转让收入；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（三）从国家出资企业取得的清算收入；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（四）其他国有资本收入。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第六十条</w:t>
      </w:r>
      <w:r>
        <w:rPr>
          <w:rFonts w:hint="eastAsia" w:ascii="方正仿宋简体" w:hAnsi="方正仿宋简体" w:eastAsia="方正仿宋简体" w:cs="方正仿宋简体"/>
          <w:sz w:val="26"/>
          <w:szCs w:val="26"/>
        </w:rPr>
        <w:t xml:space="preserve"> 国有资本经营预算按年度单独编制，纳入本级人民政府预算，报本级人民代表大会批准。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国有资本经营预算支出按照当年预算收入规模安排，不列赤字。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第六十一条</w:t>
      </w:r>
      <w:r>
        <w:rPr>
          <w:rFonts w:hint="eastAsia" w:ascii="方正仿宋简体" w:hAnsi="方正仿宋简体" w:eastAsia="方正仿宋简体" w:cs="方正仿宋简体"/>
          <w:sz w:val="26"/>
          <w:szCs w:val="26"/>
        </w:rPr>
        <w:t xml:space="preserve"> 国务院和有关地方人民政府财政部门负责国有资本经营预算草案的编制工作，履行出资人职责的机构向财政部门提出由其履行出资人职责的国有资本经营预算建议草案。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第六十二条</w:t>
      </w:r>
      <w:r>
        <w:rPr>
          <w:rFonts w:hint="eastAsia" w:ascii="方正仿宋简体" w:hAnsi="方正仿宋简体" w:eastAsia="方正仿宋简体" w:cs="方正仿宋简体"/>
          <w:sz w:val="26"/>
          <w:szCs w:val="26"/>
        </w:rPr>
        <w:t xml:space="preserve"> 国有资本经营预算管理的具体办法和实施步骤，由国务院规定，报全国人民代表大会常务委员会备案。</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国有资产监督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第六十三条</w:t>
      </w:r>
      <w:r>
        <w:rPr>
          <w:rFonts w:hint="eastAsia" w:ascii="方正仿宋简体" w:hAnsi="方正仿宋简体" w:eastAsia="方正仿宋简体" w:cs="方正仿宋简体"/>
          <w:sz w:val="26"/>
          <w:szCs w:val="26"/>
        </w:rPr>
        <w:t xml:space="preserve"> 各级人民代表大会常务委员会通过听取和审议本级人民政府履行出资人职责的情况和国有资产监督管理情况的专项工作报告，组织对本法实施情况的执法检查等，依法行使监督职权。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第六十四条</w:t>
      </w:r>
      <w:r>
        <w:rPr>
          <w:rFonts w:hint="eastAsia" w:ascii="方正仿宋简体" w:hAnsi="方正仿宋简体" w:eastAsia="方正仿宋简体" w:cs="方正仿宋简体"/>
          <w:sz w:val="26"/>
          <w:szCs w:val="26"/>
        </w:rPr>
        <w:t xml:space="preserve"> 国务院和地方人民政府应当对其授权履行出资人职责的机构履行职责的情况进行监督。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第六十五条</w:t>
      </w:r>
      <w:r>
        <w:rPr>
          <w:rFonts w:hint="eastAsia" w:ascii="方正仿宋简体" w:hAnsi="方正仿宋简体" w:eastAsia="方正仿宋简体" w:cs="方正仿宋简体"/>
          <w:sz w:val="26"/>
          <w:szCs w:val="26"/>
        </w:rPr>
        <w:t xml:space="preserve"> 国务院和地方人民政府审计机关依照《中华人民共和国审计法》的规定，对国有资本经营预算的执行情况和属于审计监督对象的国家出资企业进行审计监督。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第六十六条 </w:t>
      </w:r>
      <w:r>
        <w:rPr>
          <w:rFonts w:hint="eastAsia" w:ascii="方正仿宋简体" w:hAnsi="方正仿宋简体" w:eastAsia="方正仿宋简体" w:cs="方正仿宋简体"/>
          <w:sz w:val="26"/>
          <w:szCs w:val="26"/>
        </w:rPr>
        <w:t>国务院和地方人民政府应当依法向社会公布国有资产状况和国有资产监督管理工作情况，接受社会公众的监督。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任何单位和个人有权对造成国有资产损失的行为进行检举和控告。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第六十七条 </w:t>
      </w:r>
      <w:r>
        <w:rPr>
          <w:rFonts w:hint="eastAsia" w:ascii="方正仿宋简体" w:hAnsi="方正仿宋简体" w:eastAsia="方正仿宋简体" w:cs="方正仿宋简体"/>
          <w:sz w:val="26"/>
          <w:szCs w:val="26"/>
        </w:rPr>
        <w:t>履行出资人职责的机构根据需要，可以委托会计师事务所对国有独资企业、国有独资公司的年度财务会计报告进行审计，或者通过国有资本控股公司的股东会、股东大会决议，由国有资本控股公司聘请会计师事务所对公司的年度财务会计报告进行审计，维护出资人权益。</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 法律责任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第六十八条 </w:t>
      </w:r>
      <w:r>
        <w:rPr>
          <w:rFonts w:hint="eastAsia" w:ascii="方正仿宋简体" w:hAnsi="方正仿宋简体" w:eastAsia="方正仿宋简体" w:cs="方正仿宋简体"/>
          <w:sz w:val="26"/>
          <w:szCs w:val="26"/>
        </w:rPr>
        <w:t>履行出资人职责的机构有下列行为之一的，对其直接负责的主管人员和其他直接责任人员依法给予处分：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（一）不按照法定的任职条件，任命或者建议任命国家出资企业管理者的；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（二）侵占、截留、挪用国家出资企业的资金或者应当上缴的国有资本收入的；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（三）违反法定的权限、程序，决定国家出资企业重大事项，造成国有资产损失的；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（四）有其他不依法履行出资人职责的行为，造成国有资产损失的。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第六十九条</w:t>
      </w:r>
      <w:r>
        <w:rPr>
          <w:rFonts w:hint="eastAsia" w:ascii="方正仿宋简体" w:hAnsi="方正仿宋简体" w:eastAsia="方正仿宋简体" w:cs="方正仿宋简体"/>
          <w:sz w:val="26"/>
          <w:szCs w:val="26"/>
        </w:rPr>
        <w:t xml:space="preserve"> 履行出资人职责的机构的工作人员玩忽职守、滥用职权、徇私舞弊，尚不构成犯罪的，依法给予处分。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第七十条 </w:t>
      </w:r>
      <w:r>
        <w:rPr>
          <w:rFonts w:hint="eastAsia" w:ascii="方正仿宋简体" w:hAnsi="方正仿宋简体" w:eastAsia="方正仿宋简体" w:cs="方正仿宋简体"/>
          <w:sz w:val="26"/>
          <w:szCs w:val="26"/>
        </w:rPr>
        <w:t>履行出资人职责的机构委派的股东代表未按照委派机构的指示履行职责，造成国有资产损失的，依法承担赔偿责任；属于国家工作人员的，并依法给予处分。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第七十一条</w:t>
      </w:r>
      <w:r>
        <w:rPr>
          <w:rFonts w:hint="eastAsia" w:ascii="方正仿宋简体" w:hAnsi="方正仿宋简体" w:eastAsia="方正仿宋简体" w:cs="方正仿宋简体"/>
          <w:sz w:val="26"/>
          <w:szCs w:val="26"/>
        </w:rPr>
        <w:t xml:space="preserve"> 国家出资企业的董事、监事、高级管理人员有下列行为之一，造成国有资产损失的，依法承担赔偿责任；属于国家工作人员的，并依法给予处分：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（一）利用职权收受贿赂或者取得其他非法收入和不当利益的；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（二）侵占、挪用企业资产的；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（三）在企业改制、财产转让等过程中，违反法律、行政法规和公平交易规则，将企业财产低价转让、低价折股的；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（四）违反本法规定与本企业进行交易的；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（五）不如实向资产评估机构、会计师事务所提供有关情况和资料，或者与资产评估机构、会计师事务所串通出具虚假资产评估报告、审计报告的；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（六）违反法律、行政法规和企业章程规定的决策程序，决定企业重大事项的；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（七）有其他违反法律、行政法规和企业章程执行职务行为的。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国家出资企业的董事、监事、高级管理人员因前款所列行为取得的收入，依法予以追缴或者归国家出资企业所有。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履行出资人职责的机构任命或者建议任命的董事、监事、高级管理人员有本条第一款所列行为之一，造成国有资产重大损失的，由履行出资人职责的机构依法予以免职或者提出免职建议。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第七十二条 </w:t>
      </w:r>
      <w:r>
        <w:rPr>
          <w:rFonts w:hint="eastAsia" w:ascii="方正仿宋简体" w:hAnsi="方正仿宋简体" w:eastAsia="方正仿宋简体" w:cs="方正仿宋简体"/>
          <w:sz w:val="26"/>
          <w:szCs w:val="26"/>
        </w:rPr>
        <w:t>在涉及关联方交易、国有资产转让等交易活动中，当事人恶意串通，损害国有资产权益的，该交易行为无效。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第七十三条</w:t>
      </w:r>
      <w:r>
        <w:rPr>
          <w:rFonts w:hint="eastAsia" w:ascii="方正仿宋简体" w:hAnsi="方正仿宋简体" w:eastAsia="方正仿宋简体" w:cs="方正仿宋简体"/>
          <w:sz w:val="26"/>
          <w:szCs w:val="26"/>
        </w:rPr>
        <w:t xml:space="preserve"> 国有独资企业、国有独资公司、国有资本控股公司的董事、监事、高级管理人员违反本法规定，造成国有资产重大损失，被免职的，自免职之日起五年内不得担任国有独资企业、国有独资公司、国有资本控股公司的董事、监事、高级管理人员；造成国有资产特别重大损失，或者因贪污、贿赂、侵占财产、挪用财产或者破坏社会主义市场经济秩序被判处刑罚的，终身不得担任国有独资企业、国有独资公司、国有资本控股公司的董事、监事、高级管理人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第七十四条</w:t>
      </w:r>
      <w:r>
        <w:rPr>
          <w:rFonts w:hint="eastAsia" w:ascii="方正仿宋简体" w:hAnsi="方正仿宋简体" w:eastAsia="方正仿宋简体" w:cs="方正仿宋简体"/>
          <w:sz w:val="26"/>
          <w:szCs w:val="26"/>
        </w:rPr>
        <w:t xml:space="preserve"> 接受委托对国家出资企业进行资产评估、财务审计的资产评估机构、会计师事务所违反法律、行政法规的规定和执业准则，出具虚假的资产评估报告或者审计报告的，依照有关法律、行政法规的规定追究法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第七十五条</w:t>
      </w:r>
      <w:r>
        <w:rPr>
          <w:rFonts w:hint="eastAsia" w:ascii="方正仿宋简体" w:hAnsi="方正仿宋简体" w:eastAsia="方正仿宋简体" w:cs="方正仿宋简体"/>
          <w:sz w:val="26"/>
          <w:szCs w:val="26"/>
        </w:rPr>
        <w:t xml:space="preserve"> 违反本法规定，构成犯罪的，依法追究刑事责任。</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第九章 附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第七十六条</w:t>
      </w:r>
      <w:r>
        <w:rPr>
          <w:rFonts w:hint="eastAsia" w:ascii="方正仿宋简体" w:hAnsi="方正仿宋简体" w:eastAsia="方正仿宋简体" w:cs="方正仿宋简体"/>
          <w:sz w:val="26"/>
          <w:szCs w:val="26"/>
        </w:rPr>
        <w:t xml:space="preserve"> 金融企业国有资产的管理与监督，法律、行政法规另有规定的，依照其规定。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第七十七条</w:t>
      </w:r>
      <w:r>
        <w:rPr>
          <w:rFonts w:hint="eastAsia" w:ascii="方正仿宋简体" w:hAnsi="方正仿宋简体" w:eastAsia="方正仿宋简体" w:cs="方正仿宋简体"/>
          <w:sz w:val="26"/>
          <w:szCs w:val="26"/>
        </w:rPr>
        <w:t xml:space="preserve"> 本法自2009年5月1日起施行。</w:t>
      </w: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楷体_GB2312" w:hAnsi="微软雅黑" w:eastAsia="楷体_GB2312" w:cs="宋体"/>
          <w:b/>
          <w:bCs/>
          <w:color w:val="333333"/>
          <w:kern w:val="0"/>
          <w:sz w:val="52"/>
          <w:szCs w:val="52"/>
        </w:rPr>
      </w:pPr>
    </w:p>
    <w:p>
      <w:pPr>
        <w:widowControl/>
        <w:shd w:val="clear" w:color="auto" w:fill="FFFFFF"/>
        <w:jc w:val="center"/>
        <w:rPr>
          <w:rFonts w:ascii="微软雅黑" w:hAnsi="微软雅黑" w:eastAsia="微软雅黑" w:cs="宋体"/>
          <w:color w:val="333333"/>
          <w:kern w:val="0"/>
          <w:szCs w:val="21"/>
        </w:rPr>
      </w:pPr>
      <w:r>
        <w:rPr>
          <w:rFonts w:hint="eastAsia" w:ascii="楷体_GB2312" w:hAnsi="微软雅黑" w:eastAsia="楷体_GB2312" w:cs="宋体"/>
          <w:b/>
          <w:bCs/>
          <w:color w:val="333333"/>
          <w:kern w:val="0"/>
          <w:sz w:val="52"/>
          <w:szCs w:val="52"/>
        </w:rPr>
        <w:t>中华人民共和国会计法</w:t>
      </w:r>
      <w:bookmarkEnd w:id="0"/>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（1985年1月21日第六届全国人民代表大会常务委员会第九次会议通过 根据1993年12月29日第八届全国人民代表大会常务委员会第五次会议《关于修改〈中华人民共和国会计法〉的决定》第一次修正 1999年10月31日第九届全国人民代表大会常务委员会第十二次会议修订 根据2017年11月4日第十二届全国人民代表大会常务委员会第三十次会议《关于修改〈中华人民共和国会计法〉等十一部法律的决定》第二次修正）</w:t>
      </w:r>
    </w:p>
    <w:p>
      <w:pPr>
        <w:spacing w:line="400" w:lineRule="exact"/>
        <w:ind w:firstLine="520" w:firstLineChars="200"/>
        <w:jc w:val="left"/>
        <w:rPr>
          <w:rFonts w:ascii="方正仿宋简体" w:hAnsi="方正仿宋简体" w:eastAsia="方正仿宋简体" w:cs="方正仿宋简体"/>
          <w:sz w:val="26"/>
          <w:szCs w:val="26"/>
        </w:rPr>
      </w:pPr>
    </w:p>
    <w:p>
      <w:pPr>
        <w:widowControl/>
        <w:shd w:val="clear" w:color="auto" w:fill="FFFFFF"/>
        <w:spacing w:line="400" w:lineRule="exact"/>
        <w:ind w:firstLine="200"/>
        <w:jc w:val="center"/>
        <w:rPr>
          <w:rFonts w:ascii="宋体" w:hAnsi="宋体" w:eastAsia="宋体" w:cs="宋体"/>
          <w:kern w:val="0"/>
          <w:sz w:val="26"/>
          <w:szCs w:val="26"/>
        </w:rPr>
      </w:pPr>
      <w:r>
        <w:rPr>
          <w:rFonts w:hint="eastAsia" w:ascii="黑体" w:hAnsi="黑体" w:eastAsia="黑体" w:cs="宋体"/>
          <w:kern w:val="0"/>
          <w:sz w:val="26"/>
          <w:szCs w:val="26"/>
        </w:rPr>
        <w:t>目　　录</w:t>
      </w:r>
    </w:p>
    <w:p>
      <w:pPr>
        <w:widowControl/>
        <w:shd w:val="clear" w:color="auto" w:fill="FFFFFF"/>
        <w:spacing w:line="400" w:lineRule="exact"/>
        <w:ind w:firstLine="200"/>
        <w:jc w:val="left"/>
        <w:rPr>
          <w:rFonts w:ascii="宋体" w:hAnsi="宋体" w:eastAsia="宋体" w:cs="宋体"/>
          <w:kern w:val="0"/>
          <w:sz w:val="26"/>
          <w:szCs w:val="26"/>
        </w:rPr>
      </w:pPr>
      <w:r>
        <w:rPr>
          <w:rFonts w:hint="eastAsia" w:ascii="宋体" w:hAnsi="宋体" w:eastAsia="宋体" w:cs="宋体"/>
          <w:kern w:val="0"/>
          <w:sz w:val="26"/>
          <w:szCs w:val="26"/>
        </w:rPr>
        <w:t>　　</w:t>
      </w:r>
      <w:r>
        <w:rPr>
          <w:rFonts w:hint="eastAsia" w:ascii="楷体_GB2312" w:hAnsi="宋体" w:eastAsia="楷体_GB2312" w:cs="宋体"/>
          <w:kern w:val="0"/>
          <w:sz w:val="26"/>
          <w:szCs w:val="26"/>
        </w:rPr>
        <w:t>第一章　总　　则</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第二章　会计核算</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第三章　公司、企业会计核算的特别规定</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第四章　会计监督</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第五章　会计机构和会计人员</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第六章　法律责任</w:t>
      </w:r>
    </w:p>
    <w:p>
      <w:pPr>
        <w:widowControl/>
        <w:shd w:val="clear" w:color="auto" w:fill="FFFFFF"/>
        <w:spacing w:line="400" w:lineRule="exact"/>
        <w:ind w:firstLine="200"/>
        <w:jc w:val="left"/>
        <w:rPr>
          <w:rFonts w:ascii="楷体_GB2312" w:hAnsi="宋体" w:eastAsia="楷体_GB2312" w:cs="宋体"/>
          <w:kern w:val="0"/>
          <w:sz w:val="26"/>
          <w:szCs w:val="26"/>
        </w:rPr>
      </w:pPr>
      <w:r>
        <w:rPr>
          <w:rFonts w:hint="eastAsia" w:ascii="楷体_GB2312" w:hAnsi="宋体" w:eastAsia="楷体_GB2312" w:cs="宋体"/>
          <w:kern w:val="0"/>
          <w:sz w:val="26"/>
          <w:szCs w:val="26"/>
        </w:rPr>
        <w:t>　　第七章　附　　则</w:t>
      </w:r>
    </w:p>
    <w:p>
      <w:pPr>
        <w:widowControl/>
        <w:shd w:val="clear" w:color="auto" w:fill="FFFFFF"/>
        <w:spacing w:line="400" w:lineRule="exact"/>
        <w:ind w:firstLine="200"/>
        <w:jc w:val="left"/>
        <w:rPr>
          <w:rFonts w:ascii="楷体_GB2312" w:hAnsi="宋体" w:eastAsia="楷体_GB2312" w:cs="宋体"/>
          <w:kern w:val="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　　则</w:t>
      </w:r>
    </w:p>
    <w:p>
      <w:pPr>
        <w:widowControl/>
        <w:wordWrap w:val="0"/>
        <w:spacing w:after="136" w:line="400" w:lineRule="exact"/>
        <w:ind w:firstLine="520" w:firstLineChars="200"/>
        <w:jc w:val="left"/>
        <w:rPr>
          <w:rFonts w:ascii="黑体" w:hAnsi="黑体" w:eastAsia="黑体" w:cs="黑体"/>
          <w:kern w:val="0"/>
          <w:sz w:val="26"/>
          <w:szCs w:val="26"/>
          <w:lang w:val="zh-CN" w:bidi="zh-CN"/>
        </w:rPr>
      </w:pPr>
      <w:r>
        <w:rPr>
          <w:rFonts w:hint="eastAsia" w:ascii="楷体" w:hAnsi="楷体" w:eastAsia="楷体" w:cs="楷体"/>
          <w:sz w:val="26"/>
          <w:szCs w:val="26"/>
        </w:rPr>
        <w:t>第一条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为了规范会计行为，保证会计资料真实、完整，加强经济管理和财务管理，提高经济效益，维护社会主义市场经济秩序，制定本法。</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国家机关、社会团体、公司、企业、事业单位和其他组织（以下统称单位）必须依照本法办理会计事务。</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第三条</w:t>
      </w:r>
      <w:r>
        <w:rPr>
          <w:rFonts w:hint="eastAsia" w:ascii="方正仿宋简体" w:hAnsi="宋体" w:eastAsia="方正仿宋简体" w:cs="宋体"/>
          <w:kern w:val="0"/>
          <w:sz w:val="26"/>
          <w:szCs w:val="26"/>
        </w:rPr>
        <w:t>　各单位必须依法设置会计帐簿，并保证其真实、完整。</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单位负责人对本单位的会计工作和会计资料的真实性、完整性负责。</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第五条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会计机构、会计人员依照本法规定进行会计核算，实行会计监督。</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任何单位或者个人不得以任何方式授意、指使、强令会计机构、会计人员伪造、变造会计凭证、会计帐簿和其他会计资料，提供虚假财务会计报告。</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任何单位或者个人不得对依法履行职责、抵制违反本法规定行为的会计人员实行打击报复。</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第六条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对认真执行本法，忠于职守，坚持原则，做出显著成绩的会计人员，给予精神的或者物质的奖励。</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第七条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国务院财政部门主管全国的会计工作。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县级以上地方各级人民政府财政部门管理本行政区域内的会计工作。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第八条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国家实行统一的会计制度。国家统一的会计制度由国务院财政部门根据本法制定并公布。</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国务院有关部门可以依照本法和国家统一的会计制度制定对会计核算和会计监督有特殊要求的行业实施国家统一的会计制度的具体办法或者补充规定，报国务院财政部门审核批准。</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中国人民解放军总后勤部可以依照本法和国家统一的会计制度制定军队实施国家统一的会计制度的具体办法，报国务院财政部门备案。</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会计核算</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第九条</w:t>
      </w:r>
      <w:r>
        <w:rPr>
          <w:rFonts w:hint="eastAsia" w:ascii="方正仿宋简体" w:hAnsi="黑体" w:eastAsia="方正仿宋简体" w:cs="宋体"/>
          <w:kern w:val="0"/>
          <w:sz w:val="26"/>
          <w:szCs w:val="26"/>
        </w:rPr>
        <w:t>　</w:t>
      </w:r>
      <w:r>
        <w:rPr>
          <w:rFonts w:hint="eastAsia" w:ascii="方正仿宋简体" w:hAnsi="宋体" w:eastAsia="方正仿宋简体" w:cs="宋体"/>
          <w:kern w:val="0"/>
          <w:sz w:val="26"/>
          <w:szCs w:val="26"/>
        </w:rPr>
        <w:t>各单位必须根据实际发生的经济业务事项进行会计核算，填制会计凭证，登记会计帐簿，编制财务会计报告。</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任何单位不得以虚假的经济业务事项或者资料进行会计核算。</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第十条</w:t>
      </w:r>
      <w:r>
        <w:rPr>
          <w:rFonts w:hint="eastAsia" w:ascii="方正仿宋简体" w:hAnsi="宋体" w:eastAsia="方正仿宋简体" w:cs="宋体"/>
          <w:kern w:val="0"/>
          <w:sz w:val="26"/>
          <w:szCs w:val="26"/>
        </w:rPr>
        <w:t>　下列经济业务事项，应当办理会计手续，进行会计核算：</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（一）款项和有价证券的收付；</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（二）财物的收发、增减和使用；</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（三）债权债务的发生和结算；</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（四）资本、基金的增减；</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（五）收入、支出、费用、成本的计算；</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（六）财务成果的计算和处理；</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（七）需要办理会计手续、进行会计核算的其他事项。</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第十一条</w:t>
      </w:r>
      <w:r>
        <w:rPr>
          <w:rFonts w:hint="eastAsia" w:ascii="方正仿宋简体" w:hAnsi="宋体" w:eastAsia="方正仿宋简体" w:cs="宋体"/>
          <w:kern w:val="0"/>
          <w:sz w:val="26"/>
          <w:szCs w:val="26"/>
        </w:rPr>
        <w:t>　会计年度自公历1月1日起至12月31日止。</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第十二条</w:t>
      </w:r>
      <w:r>
        <w:rPr>
          <w:rFonts w:hint="eastAsia" w:ascii="方正仿宋简体" w:hAnsi="宋体" w:eastAsia="方正仿宋简体" w:cs="宋体"/>
          <w:kern w:val="0"/>
          <w:sz w:val="26"/>
          <w:szCs w:val="26"/>
        </w:rPr>
        <w:t>　会计核算以人民币为记帐本位币。</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业务收支以人民币以外的货币为主的单位，可以选定其中一种货币作为记帐本位币，但是编报的财务会计报告应当折算为人民币。</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第十三条</w:t>
      </w:r>
      <w:r>
        <w:rPr>
          <w:rFonts w:hint="eastAsia" w:ascii="方正仿宋简体" w:hAnsi="宋体" w:eastAsia="方正仿宋简体" w:cs="宋体"/>
          <w:kern w:val="0"/>
          <w:sz w:val="26"/>
          <w:szCs w:val="26"/>
        </w:rPr>
        <w:t>　会计凭证、会计帐簿、财务会计报告和其他会计资料，必须符合国家统一的会计制度的规定。</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使用电子计算机进行会计核算的，其软件及其生成的会计凭证、会计帐簿、财务会计报告和其他会计资料，也必须符合国家统一的会计制度的规定。</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任何单位和个人不得伪造、变造会计凭证、会计帐簿及其他会计资料，不得提供虚假的财务会计报告。</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第十四条</w:t>
      </w:r>
      <w:r>
        <w:rPr>
          <w:rFonts w:hint="eastAsia" w:ascii="方正仿宋简体" w:hAnsi="宋体" w:eastAsia="方正仿宋简体" w:cs="宋体"/>
          <w:kern w:val="0"/>
          <w:sz w:val="26"/>
          <w:szCs w:val="26"/>
        </w:rPr>
        <w:t>　会计凭证包括原始凭证和记帐凭证。</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办理本法第十条所列的经济业务事项，必须填制或者取得原始凭证并及时送交会计机构。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会计机构、会计人员必须按照国家统一的会计制度的规定对原始凭证进行审核，对不真实、不合法的原始凭证有权不予接受，并向单位负责人报告；对记载不准确、不完整的原始凭证予以退回，并要求按照国家统一的会计制度的规定更正、补充。</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原始凭证记载的各项内容均不得涂改；原始凭证有错误的，应当由出具单位重开或者更正，更正处应当加盖出具单位印章。原始凭证金额有错误的，应当由出具单位重开，不得在原始凭证上更正。</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记帐凭证应当根据经过审核的原始凭证及有关资料编制。</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第十五条</w:t>
      </w:r>
      <w:r>
        <w:rPr>
          <w:rFonts w:hint="eastAsia" w:ascii="方正仿宋简体" w:hAnsi="宋体" w:eastAsia="方正仿宋简体" w:cs="宋体"/>
          <w:kern w:val="0"/>
          <w:sz w:val="26"/>
          <w:szCs w:val="26"/>
        </w:rPr>
        <w:t>　会计帐簿登记，必须以经过审核的会计凭证为依据，并符合有关法律、行政法规和国家统一的会计制度的规定。会计帐簿包括总帐、明细帐、日记帐和其他辅助性帐簿。</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会计帐簿应当按照连续编号的页码顺序登记。会计帐簿记录发生错误或者隔页、缺号、跳行的，应当按照国家统一的会计制度规定的方法更正，并由会计人员和会计机构负责人（会计主管人员）在更正处盖章。</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使用电子计算机进行会计核算的，其会计帐簿的登记、更正，应当符合国家统一的会计制度的规定。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第十六条</w:t>
      </w:r>
      <w:r>
        <w:rPr>
          <w:rFonts w:hint="eastAsia" w:ascii="方正仿宋简体" w:hAnsi="宋体" w:eastAsia="方正仿宋简体" w:cs="宋体"/>
          <w:kern w:val="0"/>
          <w:sz w:val="26"/>
          <w:szCs w:val="26"/>
        </w:rPr>
        <w:t>　各单位发生的各项经济业务事项应当在依法设置的会计帐簿上统一登记、核算，不得违反本法和国家统一的会计制度的规定私设会计帐簿登记、核算。</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第十七条</w:t>
      </w:r>
      <w:r>
        <w:rPr>
          <w:rFonts w:hint="eastAsia" w:ascii="方正仿宋简体" w:hAnsi="宋体" w:eastAsia="方正仿宋简体" w:cs="宋体"/>
          <w:kern w:val="0"/>
          <w:sz w:val="26"/>
          <w:szCs w:val="26"/>
        </w:rPr>
        <w:t>　各单位应当定期将会计帐簿记录与实物、款项及有关资料相互核对，保证会计帐簿记录与实物及款项的实有数额相符、会计帐簿记录与会计凭证的有关内容相符、会计帐簿之间相对应的记录相符、会计帐簿记录与会计报表的有关内容相符。</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第十八条</w:t>
      </w:r>
      <w:r>
        <w:rPr>
          <w:rFonts w:hint="eastAsia" w:ascii="方正仿宋简体" w:hAnsi="宋体" w:eastAsia="方正仿宋简体" w:cs="宋体"/>
          <w:kern w:val="0"/>
          <w:sz w:val="26"/>
          <w:szCs w:val="26"/>
        </w:rPr>
        <w:t>　各单位采用的会计处理方法，前后各期应当一致，不得随意变更；确有必要变更的，应当按照国家统一的会计制度的规定变更，并将变更的原因、情况及影响在财务会计报告中说明。</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第十九条</w:t>
      </w:r>
      <w:r>
        <w:rPr>
          <w:rFonts w:hint="eastAsia" w:ascii="方正仿宋简体" w:hAnsi="宋体" w:eastAsia="方正仿宋简体" w:cs="宋体"/>
          <w:kern w:val="0"/>
          <w:sz w:val="26"/>
          <w:szCs w:val="26"/>
        </w:rPr>
        <w:t>　单位提供的担保、未决诉讼等或有事项，应当按照国家统一的会计制度的规定，在财务会计报告中予以说明。</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第二十条</w:t>
      </w:r>
      <w:r>
        <w:rPr>
          <w:rFonts w:hint="eastAsia" w:ascii="方正仿宋简体" w:hAnsi="宋体" w:eastAsia="方正仿宋简体" w:cs="宋体"/>
          <w:kern w:val="0"/>
          <w:sz w:val="26"/>
          <w:szCs w:val="26"/>
        </w:rPr>
        <w:t>　财务会计报告应当根据经过审核的会计帐簿记录和有关资料编制，并符合本法和国家统一的会计制度关于财务会计报告的编制要求、提供对象和提供期限的规定；其他法律、行政法规另有规定的，从其规定。</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财务会计报告由会计报表、会计报表附注和财务情况说明书组成。向不同的会计资料使用者提供的财务会计报告，其编制依据应当一致。有关法律、行政法规规定会计报表、会计报表附注和财务情况说明书须经注册会计师审计的，注册会计师及其所在的会计师事务所出具的审计报告应当随同财务会计报告一并提供。</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第二十一条</w:t>
      </w:r>
      <w:r>
        <w:rPr>
          <w:rFonts w:hint="eastAsia" w:ascii="方正仿宋简体" w:hAnsi="宋体" w:eastAsia="方正仿宋简体" w:cs="宋体"/>
          <w:kern w:val="0"/>
          <w:sz w:val="26"/>
          <w:szCs w:val="26"/>
        </w:rPr>
        <w:t>　财务会计报告应当由单位负责人和主管会计工作的负责人、会计机构负责人（会计主管人员）签名并盖章；设置总会计师的单位，还须由总会计师签名并盖章。</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单位负责人应当保证财务会计报告真实、完整。</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第二十二条</w:t>
      </w:r>
      <w:r>
        <w:rPr>
          <w:rFonts w:hint="eastAsia" w:ascii="方正仿宋简体" w:hAnsi="宋体" w:eastAsia="方正仿宋简体" w:cs="宋体"/>
          <w:kern w:val="0"/>
          <w:sz w:val="26"/>
          <w:szCs w:val="26"/>
        </w:rPr>
        <w:t>　会计记录的文字应当使用中文。在民族自治地方，会计记录可以同时使用当地通用的一种民族文字。在中华人民共和国境内的外商投资企业、外国企业和其他外国组织的会计记录可以同时使用一种外国文字。</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第二十三条</w:t>
      </w:r>
      <w:r>
        <w:rPr>
          <w:rFonts w:hint="eastAsia" w:ascii="方正仿宋简体" w:hAnsi="宋体" w:eastAsia="方正仿宋简体" w:cs="宋体"/>
          <w:kern w:val="0"/>
          <w:sz w:val="26"/>
          <w:szCs w:val="26"/>
        </w:rPr>
        <w:t>　各单位对会计凭证、会计帐簿、财务会计报告和其他会计资料应当建立档案，妥善保管。会计档案的保管期限和销毁办法，由国务院财政部门会同有关部门制定。</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公司、企业会计核算的特别规定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第二十四条</w:t>
      </w:r>
      <w:r>
        <w:rPr>
          <w:rFonts w:hint="eastAsia" w:ascii="方正仿宋简体" w:hAnsi="宋体" w:eastAsia="方正仿宋简体" w:cs="宋体"/>
          <w:kern w:val="0"/>
          <w:sz w:val="26"/>
          <w:szCs w:val="26"/>
        </w:rPr>
        <w:t>　公司、企业进行会计核算，除应当遵守本法第二章的规定外，还应当遵守本章规定。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第二十五条</w:t>
      </w:r>
      <w:r>
        <w:rPr>
          <w:rFonts w:hint="eastAsia" w:ascii="方正仿宋简体" w:hAnsi="宋体" w:eastAsia="方正仿宋简体" w:cs="宋体"/>
          <w:kern w:val="0"/>
          <w:sz w:val="26"/>
          <w:szCs w:val="26"/>
        </w:rPr>
        <w:t>　公司、企业必须根据实际发生的经济业务事项，按照国家统一的会计制度的规定确认、计量和记录资产、负债、所有者权益、收入、费用、成本和利润。</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第二十六条</w:t>
      </w:r>
      <w:r>
        <w:rPr>
          <w:rFonts w:hint="eastAsia" w:ascii="方正仿宋简体" w:hAnsi="宋体" w:eastAsia="方正仿宋简体" w:cs="宋体"/>
          <w:kern w:val="0"/>
          <w:sz w:val="26"/>
          <w:szCs w:val="26"/>
        </w:rPr>
        <w:t>　公司、企业进行会计核算不得有下列行为：</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（一）随意改变资产、负债、所有者权益的确认标准或者计量方法，虚列、多列、不列或者少列资产、负债、所有者权益；</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（二）虚列或者隐瞒收入，推迟或者提前确认收入；</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（三）随意改变费用、成本的确认标准或者计量方法，虚列、多列、不列或者少列费用、成本；</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（四）随意调整利润的计算、分配方法，编造虚假利润或者隐瞒利润；</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（五）违反国家统一的会计制度规定的其他行为。</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会计监督</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第二十七条</w:t>
      </w:r>
      <w:r>
        <w:rPr>
          <w:rFonts w:hint="eastAsia" w:ascii="方正仿宋简体" w:hAnsi="宋体" w:eastAsia="方正仿宋简体" w:cs="宋体"/>
          <w:kern w:val="0"/>
          <w:sz w:val="26"/>
          <w:szCs w:val="26"/>
        </w:rPr>
        <w:t>　各单位应当建立、健全本单位内部会计监督制度。单位内部会计监督制度应当符合下列要求：</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（一）记帐人员与经济业务事项和会计事项的审批人员、经办人员、财物保管人员的职责权限应当明确，并相互分离、相互制约；</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（二）重大对外投资、资产处置、资金调度和其他重要经济业务事项的决策和执行的相互监督、相互制约程序应当明确；</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（三）财产清查的范围、期限和组织程序应当明确；</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（四）对会计资料定期进行内部审计的办法和程序应当明确。</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第二十八条</w:t>
      </w:r>
      <w:r>
        <w:rPr>
          <w:rFonts w:hint="eastAsia" w:ascii="方正仿宋简体" w:hAnsi="宋体" w:eastAsia="方正仿宋简体" w:cs="宋体"/>
          <w:kern w:val="0"/>
          <w:sz w:val="26"/>
          <w:szCs w:val="26"/>
        </w:rPr>
        <w:t>　单位负责人应当保证会计机构、会计人员依法履行职责，不得授意、指使、强令会计机构、会计人员违法办理会计事项。</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会计机构、会计人员对违反本法和国家统一的会计制度规定的会计事项，有权拒绝办理或者按照职权予以纠正。</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第二十九条</w:t>
      </w:r>
      <w:r>
        <w:rPr>
          <w:rFonts w:hint="eastAsia" w:ascii="方正仿宋简体" w:hAnsi="宋体" w:eastAsia="方正仿宋简体" w:cs="宋体"/>
          <w:kern w:val="0"/>
          <w:sz w:val="26"/>
          <w:szCs w:val="26"/>
        </w:rPr>
        <w:t>　会计机构、会计人员发现会计帐簿记录与实物、款项及有关资料不相符的，按照国家统一的会计制度的规定有权自行处理的，应当及时处理；无权处理的，应当立即向单位负责人报告，请求查明原因，作出处理。</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第三十条</w:t>
      </w:r>
      <w:r>
        <w:rPr>
          <w:rFonts w:hint="eastAsia" w:ascii="方正仿宋简体" w:hAnsi="宋体" w:eastAsia="方正仿宋简体" w:cs="宋体"/>
          <w:kern w:val="0"/>
          <w:sz w:val="26"/>
          <w:szCs w:val="26"/>
        </w:rPr>
        <w:t>　任何单位和个人对违反本法和国家统一的会计制度规定的行为，有权检举。收到检举的部门有权处理的，应当依法按照职责分工及时处理；无权处理的，应当及时移送有权处理的部门处理。收到检举的部门、负责处理的部门应当为检举人保密，不得将检举人姓名和检举材料转给被检举单位和被检举人个人。</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第三十一条</w:t>
      </w:r>
      <w:r>
        <w:rPr>
          <w:rFonts w:hint="eastAsia" w:ascii="方正仿宋简体" w:hAnsi="宋体" w:eastAsia="方正仿宋简体" w:cs="宋体"/>
          <w:kern w:val="0"/>
          <w:sz w:val="26"/>
          <w:szCs w:val="26"/>
        </w:rPr>
        <w:t>　有关法律、行政法规规定，须经注册会计师进行审计的单位，应当向受委托的会计师事务所如实提供会计凭证、会计帐簿、财务会计报告和其他会计资料以及有关情况。</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任何单位或者个人不得以任何方式要求或者示意注册会计师及其所在的会计师事务所出具不实或者不当的审计报告。</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财政部门有权对会计师事务所出具审计报告的程序和内容进行监督。</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第三十二条</w:t>
      </w:r>
      <w:r>
        <w:rPr>
          <w:rFonts w:hint="eastAsia" w:ascii="方正仿宋简体" w:hAnsi="宋体" w:eastAsia="方正仿宋简体" w:cs="宋体"/>
          <w:kern w:val="0"/>
          <w:sz w:val="26"/>
          <w:szCs w:val="26"/>
        </w:rPr>
        <w:t>　财政部门对各单位的下列情况实施监督：</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（一）是否依法设置会计帐簿；</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（二）会计凭证、会计帐簿、财务会计报告和其他会计资料是否真实、完整；</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（三）会计核算是否符合本法和国家统一的会计制度的规定；</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（四）从事会计工作的人员是否具备专业能力、遵守职业道德。</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在对前款第（二）项所列事项实施监督，发现重大违法嫌疑时，国务院财政部门及其派出机构可以向与被监督单位有经济业务往来的单位和被监督单位开立帐户的金融机构查询有关情况，有关单位和金融机构应当给予支持。</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第三十三条</w:t>
      </w:r>
      <w:r>
        <w:rPr>
          <w:rFonts w:hint="eastAsia" w:ascii="方正仿宋简体" w:hAnsi="宋体" w:eastAsia="方正仿宋简体" w:cs="宋体"/>
          <w:kern w:val="0"/>
          <w:sz w:val="26"/>
          <w:szCs w:val="26"/>
        </w:rPr>
        <w:t>　财政、审计、税务、人民银行、证券监管、保险监管等部门应当依照有关法律、行政法规规定的职责，对有关单位的会计资料实施监督检查。</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前款所列监督检查部门对有关单位的会计资料依法实施监督检查后，应当出具检查结论。有关监督检查部门已经作出的检查结论能够满足其他监督检查部门履行本部门职责需要的，其他监督检查部门应当加以利用，避免重复查帐。</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第三十四条</w:t>
      </w:r>
      <w:r>
        <w:rPr>
          <w:rFonts w:hint="eastAsia" w:ascii="方正仿宋简体" w:hAnsi="宋体" w:eastAsia="方正仿宋简体" w:cs="宋体"/>
          <w:kern w:val="0"/>
          <w:sz w:val="26"/>
          <w:szCs w:val="26"/>
        </w:rPr>
        <w:t>　依法对有关单位的会计资料实施监督检查的部门及其工作人员对在监督检查中知悉的国家秘密和商业秘密负有保密义务。</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第三十五条</w:t>
      </w:r>
      <w:r>
        <w:rPr>
          <w:rFonts w:hint="eastAsia" w:ascii="方正仿宋简体" w:hAnsi="宋体" w:eastAsia="方正仿宋简体" w:cs="宋体"/>
          <w:kern w:val="0"/>
          <w:sz w:val="26"/>
          <w:szCs w:val="26"/>
        </w:rPr>
        <w:t>　各单位必须依照有关法律、行政法规的规定，接受有关监督检查部门依法实施的监督检查，如实提供会计凭证、会计帐簿、财务会计报告和其他会计资料以及有关情况，不得拒绝、隐匿、谎报。</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会计机构和会计人员</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第三十六条</w:t>
      </w:r>
      <w:r>
        <w:rPr>
          <w:rFonts w:hint="eastAsia" w:ascii="方正仿宋简体" w:hAnsi="宋体" w:eastAsia="方正仿宋简体" w:cs="宋体"/>
          <w:kern w:val="0"/>
          <w:sz w:val="26"/>
          <w:szCs w:val="26"/>
        </w:rPr>
        <w:t>　各单位应当根据会计业务的需要，设置会计机构，或者在有关机构中设置会计人员并指定会计主管人员；不具备设置条件的，应当委托经批准设立从事会计代理记帐业务的中介机构代理记帐。</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国有的和国有资产占控股地位或者主导地位的大、中型企业必须设置总会计师。总会计师的任职资格、任免程序、职责权限由国务院规定。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第三十七条</w:t>
      </w:r>
      <w:r>
        <w:rPr>
          <w:rFonts w:hint="eastAsia" w:ascii="方正仿宋简体" w:hAnsi="宋体" w:eastAsia="方正仿宋简体" w:cs="宋体"/>
          <w:kern w:val="0"/>
          <w:sz w:val="26"/>
          <w:szCs w:val="26"/>
        </w:rPr>
        <w:t>　会计机构内部应当建立稽核制度。</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出纳人员不得兼任稽核、会计档案保管和收入、支出、费用、债权债务帐目的登记工作。</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第三十八条</w:t>
      </w:r>
      <w:r>
        <w:rPr>
          <w:rFonts w:hint="eastAsia" w:ascii="方正仿宋简体" w:hAnsi="宋体" w:eastAsia="方正仿宋简体" w:cs="宋体"/>
          <w:kern w:val="0"/>
          <w:sz w:val="26"/>
          <w:szCs w:val="26"/>
        </w:rPr>
        <w:t>　会计人员应当具备从事会计工作所需要的专业能力。</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担任单位会计机构负责人（会计主管人员）的，应当具备会计师以上专业技术职务资格或者从事会计工作三年以上经历。</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本法所称会计人员的范围由国务院财政部门规定。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第三十九条</w:t>
      </w:r>
      <w:r>
        <w:rPr>
          <w:rFonts w:hint="eastAsia" w:ascii="方正仿宋简体" w:hAnsi="宋体" w:eastAsia="方正仿宋简体" w:cs="宋体"/>
          <w:kern w:val="0"/>
          <w:sz w:val="26"/>
          <w:szCs w:val="26"/>
        </w:rPr>
        <w:t>　会计人员应当遵守职业道德，提高业务素质。对会计人员的教育和培训工作应当加强。</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第四十条</w:t>
      </w:r>
      <w:r>
        <w:rPr>
          <w:rFonts w:hint="eastAsia" w:ascii="方正仿宋简体" w:hAnsi="宋体" w:eastAsia="方正仿宋简体" w:cs="宋体"/>
          <w:kern w:val="0"/>
          <w:sz w:val="26"/>
          <w:szCs w:val="26"/>
        </w:rPr>
        <w:t xml:space="preserve">  因有提供虚假财务会计报告，做假帐，隐匿或者故意销毁会计凭证、会计帐簿、财务会计报告，贪污，挪用公款，职务侵占等与会计职务有关的违法行为被依法追究刑事责任的人员，不得再从事会计工作。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第四十一条</w:t>
      </w:r>
      <w:r>
        <w:rPr>
          <w:rFonts w:hint="eastAsia" w:ascii="方正仿宋简体" w:hAnsi="宋体" w:eastAsia="方正仿宋简体" w:cs="宋体"/>
          <w:kern w:val="0"/>
          <w:sz w:val="26"/>
          <w:szCs w:val="26"/>
        </w:rPr>
        <w:t>　会计人员调动工作或者离职，必须与接管人员办清交接手续。</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一般会计人员办理交接手续，由会计机构负责人（会计主管人员）监交；会计机构负责人（会计主管人员）办理交接手续，由单位负责人监交，必要时主管单位可以派人会同监交。</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法律责任</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第四十二条</w:t>
      </w:r>
      <w:r>
        <w:rPr>
          <w:rFonts w:hint="eastAsia" w:ascii="方正仿宋简体" w:hAnsi="宋体" w:eastAsia="方正仿宋简体" w:cs="宋体"/>
          <w:kern w:val="0"/>
          <w:sz w:val="26"/>
          <w:szCs w:val="26"/>
        </w:rPr>
        <w:t>　违反本法规定，有下列行为之一的，由县级以上人民政府财政部门责令限期改正，可以对单位并处三千元以上五万元以下的罚款；对其直接负责的主管人员和其他直接责任人员，可以处二千元以上二万元以下的罚款；属于国家工作人员的，还应当由其所在单位或者有关单位依法给予行政处分：</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（一）不依法设置会计帐簿的；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（二）私设会计帐簿的；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（三）未按照规定填制、取得原始凭证或者填制、取得的原始凭证不符合规定的；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（四）以未经审核的会计凭证为依据登记会计帐簿或者登记会计帐簿不符合规定的；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（五）随意变更会计处理方法的；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（六）向不同的会计资料使用者提供的财务会计报告编制依据不一致的；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（七）未按照规定使用会计记录文字或者记帐本位币的；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（八）未按照规定保管会计资料，致使会计资料毁损、灭失的；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（九）未按照规定建立并实施单位内部会计监督制度或者拒绝依法实施的监督或者不如实提供有关会计资料及有关情况的；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（十）任用会计人员不符合本法规定的。</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有前款所列行为之一，构成犯罪的，依法追究刑事责任。</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会计人员有第一款所列行为之一，情节严重的，五年内不得从事会计工作。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有关法律对第一款所列行为的处罚另有规定的，依照有关法律的规定办理。</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第四十三条</w:t>
      </w:r>
      <w:r>
        <w:rPr>
          <w:rFonts w:hint="eastAsia" w:ascii="方正仿宋简体" w:hAnsi="宋体" w:eastAsia="方正仿宋简体" w:cs="宋体"/>
          <w:kern w:val="0"/>
          <w:sz w:val="26"/>
          <w:szCs w:val="26"/>
        </w:rPr>
        <w:t>　伪造、变造会计凭证、会计帐簿，编制虚假财务会计报告，构成犯罪的，依法追究刑事责任。</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其中的会计人员，五年内不得从事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第四十四条</w:t>
      </w:r>
      <w:r>
        <w:rPr>
          <w:rFonts w:hint="eastAsia" w:ascii="方正仿宋简体" w:hAnsi="宋体" w:eastAsia="方正仿宋简体" w:cs="宋体"/>
          <w:kern w:val="0"/>
          <w:sz w:val="26"/>
          <w:szCs w:val="26"/>
        </w:rPr>
        <w:t>　隐匿或者故意销毁依法应当保存的会计凭证、会计帐簿、财务会计报告，构成犯罪的，依法追究刑事责任。</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其中的会计人员，五年内不得从事会计工作。</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第四十五条</w:t>
      </w:r>
      <w:r>
        <w:rPr>
          <w:rFonts w:hint="eastAsia" w:ascii="方正仿宋简体" w:hAnsi="宋体" w:eastAsia="方正仿宋简体" w:cs="宋体"/>
          <w:kern w:val="0"/>
          <w:sz w:val="26"/>
          <w:szCs w:val="26"/>
        </w:rPr>
        <w:t>　授意、指使、强令会计机构、会计人员及其他人员伪造、变造会计凭证、会计帐簿，编制虚假财务会计报告或者隐匿、故意销毁依法应当保存的会计凭证、会计帐簿、财务会计报告，构成犯罪的，依法追究刑事责任；尚不构成犯罪的，可以处五千元以上五万元以下的罚款；属于国家工作人员的，还应当由其所在单位或者有关单位依法给予降级、撤职、开除的行政处分。</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第四十六条</w:t>
      </w:r>
      <w:r>
        <w:rPr>
          <w:rFonts w:hint="eastAsia" w:ascii="方正仿宋简体" w:hAnsi="宋体" w:eastAsia="方正仿宋简体" w:cs="宋体"/>
          <w:kern w:val="0"/>
          <w:sz w:val="26"/>
          <w:szCs w:val="26"/>
        </w:rPr>
        <w:t>　单位负责人对依法履行职责、抵制违反本法规定行为的会计人员以降级、撤职、调离工作岗位、解聘或者开除等方式实行打击报复，构成犯罪的，依法追究刑事责任；尚不构成犯罪的，由其所在单位或者有关单位依法给予行政处分。对受打击报复的会计人员，应当恢复其名誉和原有职务、级别。</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第四十七条</w:t>
      </w:r>
      <w:r>
        <w:rPr>
          <w:rFonts w:hint="eastAsia" w:ascii="方正仿宋简体" w:hAnsi="宋体" w:eastAsia="方正仿宋简体" w:cs="宋体"/>
          <w:kern w:val="0"/>
          <w:sz w:val="26"/>
          <w:szCs w:val="26"/>
        </w:rPr>
        <w:t>　财政部门及有关行政部门的工作人员在实施监督管理中滥用职权、玩忽职守、徇私舞弊或者泄露国家秘密、商业秘密，构成犯罪的，依法追究刑事责任；尚不构成犯罪的，依法给予行政处分。</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第四十八条</w:t>
      </w:r>
      <w:r>
        <w:rPr>
          <w:rFonts w:hint="eastAsia" w:ascii="方正仿宋简体" w:hAnsi="宋体" w:eastAsia="方正仿宋简体" w:cs="宋体"/>
          <w:kern w:val="0"/>
          <w:sz w:val="26"/>
          <w:szCs w:val="26"/>
        </w:rPr>
        <w:t>　违反本法第三十条规定，将检举人姓名和检举材料转给被检举单位和被检举人个人的，由所在单位或者有关单位依法给予行政处分。</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第四十九条</w:t>
      </w:r>
      <w:r>
        <w:rPr>
          <w:rFonts w:hint="eastAsia" w:ascii="方正仿宋简体" w:hAnsi="宋体" w:eastAsia="方正仿宋简体" w:cs="宋体"/>
          <w:kern w:val="0"/>
          <w:sz w:val="26"/>
          <w:szCs w:val="26"/>
        </w:rPr>
        <w:t>　违反本法规定，同时违反其他法律规定的，由有关部门在各自职权范围内依法进行处罚。</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附　　则</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第五十条</w:t>
      </w:r>
      <w:r>
        <w:rPr>
          <w:rFonts w:hint="eastAsia" w:ascii="方正仿宋简体" w:hAnsi="宋体" w:eastAsia="方正仿宋简体" w:cs="宋体"/>
          <w:kern w:val="0"/>
          <w:sz w:val="26"/>
          <w:szCs w:val="26"/>
        </w:rPr>
        <w:t>　本法下列用语的含义：</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单位负责人，是指单位法定代表人或者法律、行政法规规定代表单位行使职权的主要负责人。</w:t>
      </w:r>
    </w:p>
    <w:p>
      <w:pPr>
        <w:spacing w:line="400" w:lineRule="exact"/>
        <w:ind w:firstLine="520" w:firstLineChars="200"/>
        <w:jc w:val="left"/>
        <w:rPr>
          <w:rFonts w:ascii="方正仿宋简体" w:hAnsi="宋体" w:eastAsia="方正仿宋简体" w:cs="宋体"/>
          <w:kern w:val="0"/>
          <w:sz w:val="26"/>
          <w:szCs w:val="26"/>
        </w:rPr>
      </w:pPr>
      <w:r>
        <w:rPr>
          <w:rFonts w:hint="eastAsia" w:ascii="方正仿宋简体" w:hAnsi="宋体" w:eastAsia="方正仿宋简体" w:cs="宋体"/>
          <w:kern w:val="0"/>
          <w:sz w:val="26"/>
          <w:szCs w:val="26"/>
        </w:rPr>
        <w:t>国家统一的会计制度，是指国务院财政部门根据本法制定的关于会计核算、会计监督、会计机构和会计人员以及会计工作管理的制度。</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第五十一条</w:t>
      </w:r>
      <w:r>
        <w:rPr>
          <w:rFonts w:hint="eastAsia" w:ascii="方正仿宋简体" w:hAnsi="宋体" w:eastAsia="方正仿宋简体" w:cs="宋体"/>
          <w:kern w:val="0"/>
          <w:sz w:val="26"/>
          <w:szCs w:val="26"/>
        </w:rPr>
        <w:t>　个体工商户会计管理的具体办法，由国务院财政部门根据本法的原则另行规定。</w:t>
      </w:r>
    </w:p>
    <w:p>
      <w:pPr>
        <w:spacing w:line="400" w:lineRule="exact"/>
        <w:ind w:firstLine="520" w:firstLineChars="200"/>
        <w:jc w:val="left"/>
        <w:rPr>
          <w:rFonts w:ascii="方正仿宋简体" w:hAnsi="宋体" w:eastAsia="方正仿宋简体" w:cs="宋体"/>
          <w:kern w:val="0"/>
          <w:sz w:val="26"/>
          <w:szCs w:val="26"/>
        </w:rPr>
      </w:pPr>
      <w:r>
        <w:rPr>
          <w:rFonts w:hint="eastAsia" w:ascii="楷体" w:hAnsi="楷体" w:eastAsia="楷体" w:cs="楷体"/>
          <w:sz w:val="26"/>
          <w:szCs w:val="26"/>
        </w:rPr>
        <w:t>第五十二条</w:t>
      </w:r>
      <w:r>
        <w:rPr>
          <w:rFonts w:hint="eastAsia" w:ascii="方正仿宋简体" w:hAnsi="宋体" w:eastAsia="方正仿宋简体" w:cs="宋体"/>
          <w:kern w:val="0"/>
          <w:sz w:val="26"/>
          <w:szCs w:val="26"/>
        </w:rPr>
        <w:t>　本法自2000年7月1日起施行。</w:t>
      </w: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中华人民共和国公司法</w:t>
      </w:r>
    </w:p>
    <w:p>
      <w:pPr>
        <w:pStyle w:val="6"/>
        <w:spacing w:line="400" w:lineRule="exact"/>
        <w:ind w:firstLine="520" w:firstLineChars="200"/>
        <w:rPr>
          <w:bCs/>
          <w:iCs/>
          <w:sz w:val="26"/>
          <w:szCs w:val="26"/>
        </w:rPr>
      </w:pPr>
      <w:r>
        <w:rPr>
          <w:rFonts w:hint="eastAsia"/>
          <w:bCs/>
          <w:iCs/>
          <w:sz w:val="26"/>
          <w:szCs w:val="26"/>
        </w:rPr>
        <w:t>(1993年12月29日第八届全国人民代表大会常务委员会第五次会议通过 根据1999年12月25日第九届全国人民代表大会常务委员会第十三次会议《关于修改的决定》第一次修正 根据2004年8月28日第十届全国人民代表大会常务委员会第十一次会议《关于修改的决定》第二次修正 2005年10月27日第十届全国人民代表大会常务委员会第十八次会议修订 根据2013年12月28日第十二届全国人民代表大会常务委员会第六次会议《关于修改等七部法律的决定》第三次修正 根据2018年10月26日第十三届全国人民代表大会常务委员会第六次会议《关于修改的决定》第四次修正)　</w:t>
      </w:r>
    </w:p>
    <w:p>
      <w:pPr>
        <w:pStyle w:val="12"/>
        <w:shd w:val="clear" w:color="auto" w:fill="FFFFFF"/>
        <w:spacing w:before="0" w:beforeAutospacing="0" w:after="0" w:afterAutospacing="0" w:line="400" w:lineRule="exact"/>
        <w:jc w:val="center"/>
        <w:rPr>
          <w:rFonts w:ascii="黑体" w:hAnsi="黑体" w:eastAsia="黑体"/>
          <w:color w:val="333333"/>
          <w:sz w:val="26"/>
          <w:szCs w:val="26"/>
        </w:rPr>
      </w:pPr>
      <w:r>
        <w:rPr>
          <w:rStyle w:val="17"/>
          <w:rFonts w:hint="eastAsia" w:ascii="黑体" w:hAnsi="黑体" w:eastAsia="黑体"/>
          <w:color w:val="333333"/>
          <w:sz w:val="26"/>
          <w:szCs w:val="26"/>
        </w:rPr>
        <w:t>目录</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微软雅黑" w:hAnsi="微软雅黑" w:eastAsia="微软雅黑"/>
          <w:color w:val="333333"/>
          <w:sz w:val="26"/>
          <w:szCs w:val="26"/>
        </w:rPr>
        <w:t>　　</w:t>
      </w:r>
      <w:r>
        <w:rPr>
          <w:rFonts w:hint="eastAsia" w:ascii="黑体" w:hAnsi="黑体" w:eastAsia="黑体"/>
          <w:color w:val="333333"/>
          <w:sz w:val="26"/>
          <w:szCs w:val="26"/>
        </w:rPr>
        <w:t>第一章 总则</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第二章 有限责任公司的设立和组织机构</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黑体" w:hAnsi="黑体" w:eastAsia="黑体"/>
          <w:color w:val="333333"/>
          <w:sz w:val="26"/>
          <w:szCs w:val="26"/>
        </w:rPr>
        <w:t>　　</w:t>
      </w:r>
      <w:r>
        <w:rPr>
          <w:rFonts w:hint="eastAsia" w:ascii="微软雅黑" w:hAnsi="微软雅黑" w:eastAsia="微软雅黑"/>
          <w:color w:val="333333"/>
          <w:sz w:val="26"/>
          <w:szCs w:val="26"/>
        </w:rPr>
        <w:t>第一节 设立</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第二节 组织机构</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第三节 一人有限责任公司的特别规定</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第四节国有独资公司的特别规定</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第三章 有限责任公司的股权转让</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第四章 股份有限公司的设立和组织机构</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黑体" w:hAnsi="黑体" w:eastAsia="黑体"/>
          <w:color w:val="333333"/>
          <w:sz w:val="26"/>
          <w:szCs w:val="26"/>
        </w:rPr>
        <w:t>　　</w:t>
      </w:r>
      <w:r>
        <w:rPr>
          <w:rFonts w:hint="eastAsia" w:ascii="微软雅黑" w:hAnsi="微软雅黑" w:eastAsia="微软雅黑"/>
          <w:color w:val="333333"/>
          <w:sz w:val="26"/>
          <w:szCs w:val="26"/>
        </w:rPr>
        <w:t>第一节 设立</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第二节 股东大会</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第三节 董事会、经理</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第四节 监事会</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第五节 上市公司组织机构的特别规定</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第五章 股份有限公司的股份发行和转让</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黑体" w:hAnsi="黑体" w:eastAsia="黑体"/>
          <w:color w:val="333333"/>
          <w:sz w:val="26"/>
          <w:szCs w:val="26"/>
        </w:rPr>
        <w:t>　　</w:t>
      </w:r>
      <w:r>
        <w:rPr>
          <w:rFonts w:hint="eastAsia" w:ascii="微软雅黑" w:hAnsi="微软雅黑" w:eastAsia="微软雅黑"/>
          <w:color w:val="333333"/>
          <w:sz w:val="26"/>
          <w:szCs w:val="26"/>
        </w:rPr>
        <w:t>第一节 股份发行</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微软雅黑" w:hAnsi="微软雅黑" w:eastAsia="微软雅黑"/>
          <w:color w:val="333333"/>
          <w:sz w:val="26"/>
          <w:szCs w:val="26"/>
        </w:rPr>
        <w:t>　　第二节 股份转让</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第六章 公司董事、监事、高级管理人员的资格和义务</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第七章 公司债券</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第八章 公司财务、会计</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第九章 公司合并、分立、增资、减资</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第十章 公司解散和清算</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第十一章 外国公司的分支机构</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第十二章 法律责任</w:t>
      </w:r>
    </w:p>
    <w:p>
      <w:pPr>
        <w:pStyle w:val="12"/>
        <w:shd w:val="clear" w:color="auto" w:fill="FFFFFF"/>
        <w:spacing w:before="0" w:beforeAutospacing="0" w:after="0" w:afterAutospacing="0" w:line="400" w:lineRule="exact"/>
        <w:jc w:val="both"/>
        <w:rPr>
          <w:rFonts w:ascii="黑体" w:hAnsi="黑体" w:eastAsia="黑体"/>
          <w:color w:val="333333"/>
          <w:sz w:val="26"/>
          <w:szCs w:val="26"/>
        </w:rPr>
      </w:pPr>
      <w:r>
        <w:rPr>
          <w:rFonts w:hint="eastAsia" w:ascii="黑体" w:hAnsi="黑体" w:eastAsia="黑体"/>
          <w:color w:val="333333"/>
          <w:sz w:val="26"/>
          <w:szCs w:val="26"/>
        </w:rPr>
        <w:t>　　第十三章 附则</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第一章 总则</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第一条</w:t>
      </w:r>
      <w:r>
        <w:rPr>
          <w:rFonts w:hint="eastAsia" w:ascii="方正仿宋简体" w:hAnsi="微软雅黑" w:eastAsia="方正仿宋简体"/>
          <w:color w:val="333333"/>
          <w:sz w:val="26"/>
          <w:szCs w:val="26"/>
        </w:rPr>
        <w:t xml:space="preserve"> 为了规范公司的组织和行为，保护公司、股东和债权人的合法权益，维护社会经济秩序，促进社会主义市场经济的发展，制定本法。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第二条</w:t>
      </w:r>
      <w:r>
        <w:rPr>
          <w:rFonts w:hint="eastAsia" w:ascii="方正仿宋简体" w:hAnsi="微软雅黑" w:eastAsia="方正仿宋简体"/>
          <w:color w:val="333333"/>
          <w:sz w:val="26"/>
          <w:szCs w:val="26"/>
        </w:rPr>
        <w:t xml:space="preserve"> 本法所称公司是指依照本法在中国境内设立的有限责任公司和股份有限公司。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第三条</w:t>
      </w:r>
      <w:r>
        <w:rPr>
          <w:rFonts w:hint="eastAsia" w:ascii="方正仿宋简体" w:hAnsi="微软雅黑" w:eastAsia="方正仿宋简体"/>
          <w:color w:val="333333"/>
          <w:sz w:val="26"/>
          <w:szCs w:val="26"/>
        </w:rPr>
        <w:t xml:space="preserve"> 公司是企业法人，有独立的法人财产，享有法人财产权。公司以其全部财产对公司的债务承担责任。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有限责任公司的股东以其认缴的出资额为限对公司承担责任；股份有限公司的股东以其认购的股份为限对公司承担责任。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第四条</w:t>
      </w:r>
      <w:r>
        <w:rPr>
          <w:rFonts w:hint="eastAsia" w:ascii="方正仿宋简体" w:hAnsi="微软雅黑" w:eastAsia="方正仿宋简体"/>
          <w:color w:val="333333"/>
          <w:sz w:val="26"/>
          <w:szCs w:val="26"/>
        </w:rPr>
        <w:t xml:space="preserve"> 公司股东依法享有资产收益、参与重大决策和选择管理者等权利。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第五条</w:t>
      </w:r>
      <w:r>
        <w:rPr>
          <w:rFonts w:hint="eastAsia" w:ascii="方正仿宋简体" w:hAnsi="微软雅黑" w:eastAsia="方正仿宋简体"/>
          <w:color w:val="333333"/>
          <w:sz w:val="26"/>
          <w:szCs w:val="26"/>
        </w:rPr>
        <w:t xml:space="preserve"> 公司从事经营活动，必须遵守法律、行政法规，遵守社会公德、商业道德，诚实守信，接受政府和社会公众的监督，承担社会责任。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公司的合法权益受法律保护，不受侵犯。</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第六条</w:t>
      </w:r>
      <w:r>
        <w:rPr>
          <w:rFonts w:hint="eastAsia" w:ascii="方正仿宋简体" w:hAnsi="微软雅黑" w:eastAsia="方正仿宋简体"/>
          <w:color w:val="333333"/>
          <w:sz w:val="26"/>
          <w:szCs w:val="26"/>
        </w:rPr>
        <w:t xml:space="preserve"> 设立公司，应当依法向公司登记机关申请设立登记。符合本法规定的设立条 件的，由公司登记机关分别登记为有限责任公司或者股份有限公司；不符合本法规定的设立条 件的，不得登记为有限责任公司或者股份有限公司。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法律、行政法规规定设立公司必须报经批准的，应当在公司登记前依法办理批准手续。</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公众可以向公司登记机关申请查询公司登记事项，公司登记机关应当提供查询服务。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第七条</w:t>
      </w:r>
      <w:r>
        <w:rPr>
          <w:rFonts w:hint="eastAsia" w:ascii="方正仿宋简体" w:hAnsi="微软雅黑" w:eastAsia="方正仿宋简体"/>
          <w:color w:val="333333"/>
          <w:sz w:val="26"/>
          <w:szCs w:val="26"/>
        </w:rPr>
        <w:t xml:space="preserve"> 依法设立的公司，由公司登记机关发给公司营业执照。公司营业执照签发日期为公司成立日期。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公司营业执照应当载明公司的名称、住所、注册资本、经营范围、法定代表人姓名等事项。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公司营业执照记载的事项发生变更的，公司应当依法办理变更登记，由公司登记机关换发营业执照。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第八条</w:t>
      </w:r>
      <w:r>
        <w:rPr>
          <w:rFonts w:hint="eastAsia" w:ascii="方正仿宋简体" w:hAnsi="微软雅黑" w:eastAsia="方正仿宋简体"/>
          <w:color w:val="333333"/>
          <w:sz w:val="26"/>
          <w:szCs w:val="26"/>
        </w:rPr>
        <w:t xml:space="preserve"> 依照本法设立的有限责任公司，必须在公司名称中标明有限责任公司或者有限公司字样。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依照本法设立的股份有限公司，必须在公司名称中标明股份有限公司或者股份公司字样。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第九条</w:t>
      </w:r>
      <w:r>
        <w:rPr>
          <w:rFonts w:hint="eastAsia" w:ascii="方正仿宋简体" w:hAnsi="微软雅黑" w:eastAsia="方正仿宋简体"/>
          <w:color w:val="333333"/>
          <w:sz w:val="26"/>
          <w:szCs w:val="26"/>
        </w:rPr>
        <w:t xml:space="preserve"> 有限责任公司变更为股份有限公司，应当符合本法规定的股份有限公司的条 件。股份有限公司变更为有限责任公司，应当符合本法规定的有限责任公司的条 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有限责任公司变更为股份有限公司的，或者股份有限公司变更为有限责任公司的，公司变更前的债权、债务由变更后的公司承继。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第十条</w:t>
      </w:r>
      <w:r>
        <w:rPr>
          <w:rFonts w:hint="eastAsia" w:ascii="方正仿宋简体" w:hAnsi="微软雅黑" w:eastAsia="方正仿宋简体"/>
          <w:color w:val="333333"/>
          <w:sz w:val="26"/>
          <w:szCs w:val="26"/>
        </w:rPr>
        <w:t xml:space="preserve"> 公司以其主要办事机构所在地为住所。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第十一条</w:t>
      </w:r>
      <w:r>
        <w:rPr>
          <w:rFonts w:hint="eastAsia" w:ascii="方正仿宋简体" w:hAnsi="微软雅黑" w:eastAsia="方正仿宋简体"/>
          <w:color w:val="333333"/>
          <w:sz w:val="26"/>
          <w:szCs w:val="26"/>
        </w:rPr>
        <w:t xml:space="preserve"> 设立公司必须依法制定公司章程。公司章程对公司、股东、董事、监事、高级管理人员具有约束力。</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第十二条</w:t>
      </w:r>
      <w:r>
        <w:rPr>
          <w:rFonts w:hint="eastAsia" w:ascii="方正仿宋简体" w:hAnsi="微软雅黑" w:eastAsia="方正仿宋简体"/>
          <w:color w:val="333333"/>
          <w:sz w:val="26"/>
          <w:szCs w:val="26"/>
        </w:rPr>
        <w:t xml:space="preserve"> 公司的经营范围由公司章程规定，并依法登记。公司可以修改公司章程，改变经营范围，但是应当办理变更登记。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公司的经营范围中属于法律、行政法规规定须经批准的项目，应当依法经过批准。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第十三条</w:t>
      </w:r>
      <w:r>
        <w:rPr>
          <w:rFonts w:hint="eastAsia" w:ascii="方正仿宋简体" w:hAnsi="微软雅黑" w:eastAsia="方正仿宋简体"/>
          <w:color w:val="333333"/>
          <w:sz w:val="26"/>
          <w:szCs w:val="26"/>
        </w:rPr>
        <w:t xml:space="preserve"> 公司法定代表人依照公司章程的规定，由董事长、执行董事或者经理担任，并依法登记。公司法定代表人变更，应当办理变更登记。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第十四条</w:t>
      </w:r>
      <w:r>
        <w:rPr>
          <w:rFonts w:hint="eastAsia" w:ascii="方正仿宋简体" w:hAnsi="微软雅黑" w:eastAsia="方正仿宋简体"/>
          <w:color w:val="333333"/>
          <w:sz w:val="26"/>
          <w:szCs w:val="26"/>
        </w:rPr>
        <w:t xml:space="preserve"> 公司可以设立分公司。设立分公司，应当向公司登记机关申请登记，领取营业执照。分公司不具有法人资格，其民事责任由公司承担。</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公司可以设立子公司，子公司具有法人资格，依法独立承担民事责任。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第十五条</w:t>
      </w:r>
      <w:r>
        <w:rPr>
          <w:rFonts w:hint="eastAsia" w:ascii="方正仿宋简体" w:hAnsi="微软雅黑" w:eastAsia="方正仿宋简体"/>
          <w:color w:val="333333"/>
          <w:sz w:val="26"/>
          <w:szCs w:val="26"/>
        </w:rPr>
        <w:t xml:space="preserve"> 公司可以向其他企业投资；但是，除法律另有规定外，不得成为对所投资企业的债务承担连带责任的出资人。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第十六条</w:t>
      </w:r>
      <w:r>
        <w:rPr>
          <w:rFonts w:hint="eastAsia" w:ascii="方正仿宋简体" w:hAnsi="微软雅黑" w:eastAsia="方正仿宋简体"/>
          <w:color w:val="333333"/>
          <w:sz w:val="26"/>
          <w:szCs w:val="26"/>
        </w:rPr>
        <w:t xml:space="preserve"> 公司向其他企业投资或者为他人提供担保，依照公司章程的规定，由董事会或者股东会、股东大会决议；公司章程对投资或者担保的总额及单项投资或者担保的数额有限额规定的，不得超过规定的限额。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公司为公司股东或者实际控制人提供担保的，必须经股东会或者股东大会决议。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前款规定的股东或者受前款规定的实际控制人支配的股东，不得参加前款规定事项的表决。该项表决由出席会议的其他股东所持表决权的过半数通过。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第十七条</w:t>
      </w:r>
      <w:r>
        <w:rPr>
          <w:rFonts w:hint="eastAsia" w:ascii="方正仿宋简体" w:hAnsi="微软雅黑" w:eastAsia="方正仿宋简体"/>
          <w:color w:val="333333"/>
          <w:sz w:val="26"/>
          <w:szCs w:val="26"/>
        </w:rPr>
        <w:t xml:space="preserve"> 公司必须保护职工的合法权益，依法与职工签订劳动合同，参加社会保险，加强劳动保护，实现安全生产。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公司应当采用多种形式，加强公司职工的职业教育和岗位培训，提高职工素质。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第十八条</w:t>
      </w:r>
      <w:r>
        <w:rPr>
          <w:rFonts w:hint="eastAsia" w:ascii="方正仿宋简体" w:hAnsi="微软雅黑" w:eastAsia="方正仿宋简体"/>
          <w:color w:val="333333"/>
          <w:sz w:val="26"/>
          <w:szCs w:val="26"/>
        </w:rPr>
        <w:t xml:space="preserve"> 公司职工依照《中华人民共和国工会法》组织工会，开展工会活动，维护职工合法权益。公司应当为本公司工会提供必要的活动条 件。公司工会代表职工就职工的劳动报酬、工作时间、福利、保险和劳动安全卫生等事项依法与公司签订集体合同。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公司依照宪法和有关法律的规定，通过职工代表大会或者其他形式，实行民主管理。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公司研究决定改制以及经营方面的重大问题、制定重要的规章制度时，应当听取公司工会的意见，并通过职工代表大会或者其他形式听取职工的意见和建议。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第十九条</w:t>
      </w:r>
      <w:r>
        <w:rPr>
          <w:rFonts w:hint="eastAsia" w:ascii="方正仿宋简体" w:hAnsi="微软雅黑" w:eastAsia="方正仿宋简体"/>
          <w:color w:val="333333"/>
          <w:sz w:val="26"/>
          <w:szCs w:val="26"/>
        </w:rPr>
        <w:t xml:space="preserve"> 在公司中，根据中国共产党章程的规定，设立中国共产党的组织，开展党的活动。公司应当为党组织的活动提供必要条 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第二十条</w:t>
      </w:r>
      <w:r>
        <w:rPr>
          <w:rFonts w:hint="eastAsia" w:ascii="方正仿宋简体" w:hAnsi="微软雅黑" w:eastAsia="方正仿宋简体"/>
          <w:color w:val="333333"/>
          <w:sz w:val="26"/>
          <w:szCs w:val="26"/>
        </w:rPr>
        <w:t xml:space="preserve"> 公司股东应当遵守法律、行政法规和公司章程，依法行使股东权利，不得滥用股东权利损害公司或者其他股东的利益；不得滥用公司法人独立地位和股东有限责任损害公司债权人的利益。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公司股东滥用股东权利给公司或者其他股东造成损失的，应当依法承担赔偿责任。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公司股东滥用公司法人独立地位和股东有限责任，逃避债务，严重损害公司债权人利益的，应当对公司债务承担连带责任。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第二十一条</w:t>
      </w:r>
      <w:r>
        <w:rPr>
          <w:rFonts w:hint="eastAsia" w:ascii="方正仿宋简体" w:hAnsi="微软雅黑" w:eastAsia="方正仿宋简体"/>
          <w:color w:val="333333"/>
          <w:sz w:val="26"/>
          <w:szCs w:val="26"/>
        </w:rPr>
        <w:t xml:space="preserve"> 公司的控股股东、实际控制人、董事、监事、高级管理人员不得利用其关联关系损害公司利益。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违反前款规定，给公司造成损失的，应当承担赔偿责任。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第二十二条</w:t>
      </w:r>
      <w:r>
        <w:rPr>
          <w:rFonts w:hint="eastAsia" w:ascii="方正仿宋简体" w:hAnsi="微软雅黑" w:eastAsia="方正仿宋简体"/>
          <w:color w:val="333333"/>
          <w:sz w:val="26"/>
          <w:szCs w:val="26"/>
        </w:rPr>
        <w:t xml:space="preserve"> 公司股东会或者股东大会、董事会的决议内容违反法律、行政法规的无效。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股东会或者股东大会、董事会的会议召集程序、表决方式违反法律、行政法规或者公司章程，或者决议内容违反公司章程的，股东可以自决议作出之日起六十日内，请求人民法院撤销。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股东依照前款规定提起诉讼的，人民法院可以应公司的请求，要求股东提供相应担保。</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方正仿宋简体" w:hAnsi="微软雅黑" w:eastAsia="方正仿宋简体"/>
          <w:color w:val="333333"/>
          <w:sz w:val="26"/>
          <w:szCs w:val="26"/>
        </w:rPr>
        <w:t>　　公司根据股东会或者股东大会、董事会决议已办理变更登记的，人民法院宣告该决议无效或者撤销该决议后，公司应当向公司登记机关申请撤销变更登记。</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黑体" w:hAnsi="黑体" w:eastAsia="黑体"/>
          <w:color w:val="333333"/>
          <w:sz w:val="26"/>
          <w:szCs w:val="26"/>
        </w:rPr>
        <w:t>第二章 有限责任公司的设立和组织机构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方正仿宋简体" w:hAnsi="微软雅黑" w:eastAsia="方正仿宋简体"/>
          <w:color w:val="333333"/>
          <w:sz w:val="26"/>
          <w:szCs w:val="26"/>
        </w:rPr>
        <w:t>第一节 设立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第二十三条</w:t>
      </w:r>
      <w:r>
        <w:rPr>
          <w:rFonts w:hint="eastAsia" w:ascii="方正仿宋简体" w:hAnsi="微软雅黑" w:eastAsia="方正仿宋简体"/>
          <w:color w:val="333333"/>
          <w:sz w:val="26"/>
          <w:szCs w:val="26"/>
        </w:rPr>
        <w:t xml:space="preserve"> 设立有限责任公司，应当具备下列条 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(一)股东符合法定人数；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(二)有符合公司章程规定的全体股东认缴的出资额；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(三)股东共同制定公司章程；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(四)有公司名称，建立符合有限责任公司要求的组织机构；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(五)有公司住所。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第二十四条</w:t>
      </w:r>
      <w:r>
        <w:rPr>
          <w:rFonts w:hint="eastAsia" w:ascii="方正仿宋简体" w:hAnsi="微软雅黑" w:eastAsia="方正仿宋简体"/>
          <w:color w:val="333333"/>
          <w:sz w:val="26"/>
          <w:szCs w:val="26"/>
        </w:rPr>
        <w:t xml:space="preserve"> 有限责任公司由五十个以下股东出资设立。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第二十五条</w:t>
      </w:r>
      <w:r>
        <w:rPr>
          <w:rFonts w:hint="eastAsia" w:ascii="方正仿宋简体" w:hAnsi="微软雅黑" w:eastAsia="方正仿宋简体"/>
          <w:color w:val="333333"/>
          <w:sz w:val="26"/>
          <w:szCs w:val="26"/>
        </w:rPr>
        <w:t xml:space="preserve"> 有限责任公司章程应当载明下列事项：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(一)公司名称和住所；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(二)公司经营范围；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(三)公司注册资本；</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(四)股东的姓名或者名称；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(五)股东的出资方式、出资额和出资时间；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(六)公司的机构及其产生办法、职权、议事规则；</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(七)公司法定代表人；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(八)股东会会议认为需要规定的其他事项。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股东应当在公司章程上签名、盖章。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第二十六条</w:t>
      </w:r>
      <w:r>
        <w:rPr>
          <w:rFonts w:hint="eastAsia" w:ascii="方正仿宋简体" w:hAnsi="微软雅黑" w:eastAsia="方正仿宋简体"/>
          <w:color w:val="333333"/>
          <w:sz w:val="26"/>
          <w:szCs w:val="26"/>
        </w:rPr>
        <w:t xml:space="preserve"> 有限责任公司的注册资本为在公司登记机关登记的全体股东认缴的出资额。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法律、行政法规以及国务院决定对有限责任公司注册资本实缴、注册资本最低限额另有规定的，从其规定。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第二十七条</w:t>
      </w:r>
      <w:r>
        <w:rPr>
          <w:rFonts w:hint="eastAsia" w:ascii="方正仿宋简体" w:hAnsi="微软雅黑" w:eastAsia="方正仿宋简体"/>
          <w:color w:val="333333"/>
          <w:sz w:val="26"/>
          <w:szCs w:val="26"/>
        </w:rPr>
        <w:t xml:space="preserve"> 股东可以用货币出资，也可以用实物、知识产权、土地使用权等可以用货币估价并可以依法转让的非货币财产作价出资；但是，法律、行政法规规定不得作为出资的财产除外。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对作为出资的非货币财产应当评估作价，核实财产，不得高估或者低估作价。法律、行政法规对评估作价有规定的，从其规定。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第二十八条</w:t>
      </w:r>
      <w:r>
        <w:rPr>
          <w:rFonts w:hint="eastAsia" w:ascii="方正仿宋简体" w:hAnsi="微软雅黑" w:eastAsia="方正仿宋简体"/>
          <w:color w:val="333333"/>
          <w:sz w:val="26"/>
          <w:szCs w:val="26"/>
        </w:rPr>
        <w:t xml:space="preserve"> 股东应当按期足额缴纳公司章程中规定的各自所认缴的出资额。股东以货币出资的，应当将货币出资足额存入有限责任公司在银行开设的账户；以非货币财产出资的，应当依法办理其财产权的转移手续。</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股东不按照前款规定缴纳出资的，除应当向公司足额缴纳外，还应当向已按期足额缴纳出资的股东承担违约责任。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第二十九条</w:t>
      </w:r>
      <w:r>
        <w:rPr>
          <w:rFonts w:hint="eastAsia" w:ascii="方正仿宋简体" w:hAnsi="微软雅黑" w:eastAsia="方正仿宋简体"/>
          <w:color w:val="333333"/>
          <w:sz w:val="26"/>
          <w:szCs w:val="26"/>
        </w:rPr>
        <w:t xml:space="preserve"> 股东认足公司章程规定的出资后，由全体股东指定的代表或者共同委托的代理人向公司登记机关报送公司登记申请书、公司章程等文件，申请设立登记。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第三十条</w:t>
      </w:r>
      <w:r>
        <w:rPr>
          <w:rFonts w:hint="eastAsia" w:ascii="方正仿宋简体" w:hAnsi="微软雅黑" w:eastAsia="方正仿宋简体"/>
          <w:color w:val="333333"/>
          <w:sz w:val="26"/>
          <w:szCs w:val="26"/>
        </w:rPr>
        <w:t xml:space="preserve"> 有限责任公司成立后，发现作为设立公司出资的非货币财产的实际价额显著低于公司章程所定价额的，应当由交付该出资的股东补足其差额；公司设立时的其他股东承担连带责任。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第三十一条</w:t>
      </w:r>
      <w:r>
        <w:rPr>
          <w:rFonts w:hint="eastAsia" w:ascii="方正仿宋简体" w:hAnsi="微软雅黑" w:eastAsia="方正仿宋简体"/>
          <w:color w:val="333333"/>
          <w:sz w:val="26"/>
          <w:szCs w:val="26"/>
        </w:rPr>
        <w:t xml:space="preserve"> 有限责任公司成立后，应当向股东签发出资证明书。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出资证明书应当载明下列事项：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(一)公司名称；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(二)公司成立日期；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(三)公司注册资本；</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(四)股东的姓名或者名称、缴纳的出资额和出资日期；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(五)出资证明书的编号和核发日期。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出资证明书由公司盖章。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第三十二条</w:t>
      </w:r>
      <w:r>
        <w:rPr>
          <w:rFonts w:hint="eastAsia" w:ascii="方正仿宋简体" w:hAnsi="微软雅黑" w:eastAsia="方正仿宋简体"/>
          <w:color w:val="333333"/>
          <w:sz w:val="26"/>
          <w:szCs w:val="26"/>
        </w:rPr>
        <w:t xml:space="preserve"> 有限责任公司应当置备股东名册，记载下列事项：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(一)股东的姓名或者名称及住所；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(二)股东的出资额；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(三)出资证明书编号。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记载于股东名册的股东，可以依股东名册主张行使股东权利。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公司应当将股东的姓名或者名称向公司登记机关登记；登记事项发生变更的，应当办理变更登记。未经登记或者变更登记的，不得对抗第三人。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第三十三条</w:t>
      </w:r>
      <w:r>
        <w:rPr>
          <w:rFonts w:hint="eastAsia" w:ascii="方正仿宋简体" w:hAnsi="微软雅黑" w:eastAsia="方正仿宋简体"/>
          <w:color w:val="333333"/>
          <w:sz w:val="26"/>
          <w:szCs w:val="26"/>
        </w:rPr>
        <w:t xml:space="preserve"> 股东有权查阅、复制公司章程、股东会会议记录、董事会会议决议、监事会会议决议和财务会计报告。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可以要求查阅公司会计账簿。股东要求查阅公司会计账簿的，应当向公司提出书面请求，说明目的。公司有合理根据认为股东查阅会计账簿有不正当目的，可能损害公司合法利益的，可以拒绝提供查阅，并应当自股东提出书面请求之日起十五日内书面答复股东并说明理由。公司拒绝提供查阅的，股东可以请求人民法院要求公司提供查阅。</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第三十四条</w:t>
      </w:r>
      <w:r>
        <w:rPr>
          <w:rFonts w:hint="eastAsia" w:ascii="方正仿宋简体" w:hAnsi="微软雅黑" w:eastAsia="方正仿宋简体"/>
          <w:color w:val="333333"/>
          <w:sz w:val="26"/>
          <w:szCs w:val="26"/>
        </w:rPr>
        <w:t xml:space="preserve"> 股东按照实缴的出资比例分取红利；公司新增资本时，股东有权优先按照实缴的出资比例认缴出资。但是，全体股东约定不按照出资比例分取红利或者不按照出资比例优先认缴出资的除外。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第三十五条</w:t>
      </w:r>
      <w:r>
        <w:rPr>
          <w:rFonts w:hint="eastAsia" w:ascii="方正仿宋简体" w:hAnsi="微软雅黑" w:eastAsia="方正仿宋简体"/>
          <w:color w:val="333333"/>
          <w:sz w:val="26"/>
          <w:szCs w:val="26"/>
        </w:rPr>
        <w:t xml:space="preserve"> 公司成立后，股东不得抽逃出资。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第二节 组织机构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第三十六条</w:t>
      </w:r>
      <w:r>
        <w:rPr>
          <w:rFonts w:hint="eastAsia" w:ascii="方正仿宋简体" w:hAnsi="微软雅黑" w:eastAsia="方正仿宋简体"/>
          <w:color w:val="333333"/>
          <w:sz w:val="26"/>
          <w:szCs w:val="26"/>
        </w:rPr>
        <w:t xml:space="preserve"> 有限责任公司股东会由全体股东组成。股东会是公司的权力机构，依照本法行使职权。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第三十七条</w:t>
      </w:r>
      <w:r>
        <w:rPr>
          <w:rFonts w:hint="eastAsia" w:ascii="方正仿宋简体" w:hAnsi="微软雅黑" w:eastAsia="方正仿宋简体"/>
          <w:color w:val="333333"/>
          <w:sz w:val="26"/>
          <w:szCs w:val="26"/>
        </w:rPr>
        <w:t xml:space="preserve"> 股东会行使下列职权：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(一)决定公司的经营方针和投资计划；</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(二)选举和更换非由职工代表担任的董事、监事，决定有关董事、监事的报酬事项；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(三)审议批准董事会的报告；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(四)审议批准监事会或者监事的报告；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(五)审议批准公司的年度财务预算方案、决算方案；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(六)审议批准公司的利润分配方案和弥补亏损方案；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(七)对公司增加或者减少注册资本作出决议；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(八)对发行公司债券作出决议；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(九)对公司合并、分立、解散、清算或者变更公司形式作出决议；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(十)修改公司章程；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(十一)公司章程规定的其他职权。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对前款所列事项股东以书面形式一致表示同意的，可以不召开股东会会议，直接作出决定，并由全体股东在决定文件上签名、盖章。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第三十八条</w:t>
      </w:r>
      <w:r>
        <w:rPr>
          <w:rFonts w:hint="eastAsia" w:ascii="方正仿宋简体" w:hAnsi="微软雅黑" w:eastAsia="方正仿宋简体"/>
          <w:color w:val="333333"/>
          <w:sz w:val="26"/>
          <w:szCs w:val="26"/>
        </w:rPr>
        <w:t xml:space="preserve"> 首次股东会会议由出资最多的股东召集和主持，依照本法规定行使职权。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第三十九条</w:t>
      </w:r>
      <w:r>
        <w:rPr>
          <w:rFonts w:hint="eastAsia" w:ascii="方正仿宋简体" w:hAnsi="微软雅黑" w:eastAsia="方正仿宋简体"/>
          <w:color w:val="333333"/>
          <w:sz w:val="26"/>
          <w:szCs w:val="26"/>
        </w:rPr>
        <w:t xml:space="preserve"> 股东会会议分为定期会议和临时会议。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定期会议应当依照公司章程的规定按时召开。代表十分之一以上表决权的股东，三分之一以上的董事，监事会或者不设监事会的公司的监事提议召开临时会议的，应当召开临时会议。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第四十条</w:t>
      </w:r>
      <w:r>
        <w:rPr>
          <w:rFonts w:hint="eastAsia" w:ascii="方正仿宋简体" w:hAnsi="微软雅黑" w:eastAsia="方正仿宋简体"/>
          <w:color w:val="333333"/>
          <w:sz w:val="26"/>
          <w:szCs w:val="26"/>
        </w:rPr>
        <w:t xml:space="preserve"> 有限责任公司设立董事会的，股东会会议由董事会召集，董事长主持；董事长不能履行职务或者不履行职务的，由副董事长主持；副董事长不能履行职务或者不履行职务的，由半数以上董事共同推举一名董事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有限责任公司不设董事会的，股东会会议由执行董事召集和主持。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董事会或者执行董事不能履行或者不履行召集股东会会议职责的，由监事会或者不设监事会的公司的监事召集和主持；监事会或者监事不召集和主持的，代表十分之一以上表决权的股东可以自行召集和主持。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第四十一条</w:t>
      </w:r>
      <w:r>
        <w:rPr>
          <w:rFonts w:hint="eastAsia" w:ascii="方正仿宋简体" w:hAnsi="微软雅黑" w:eastAsia="方正仿宋简体"/>
          <w:color w:val="333333"/>
          <w:sz w:val="26"/>
          <w:szCs w:val="26"/>
        </w:rPr>
        <w:t xml:space="preserve"> 召开股东会会议，应当于会议召开十五日前通知全体股东；但是，公司章程另有规定或者全体股东另有约定的除外。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股东会应当对所议事项的决定作成会议记录，出席会议的股东应当在会议记录上签名。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第四十二条</w:t>
      </w:r>
      <w:r>
        <w:rPr>
          <w:rFonts w:hint="eastAsia" w:ascii="方正仿宋简体" w:hAnsi="微软雅黑" w:eastAsia="方正仿宋简体"/>
          <w:color w:val="333333"/>
          <w:sz w:val="26"/>
          <w:szCs w:val="26"/>
        </w:rPr>
        <w:t xml:space="preserve"> 股东会会议由股东按照出资比例行使表决权；但是，公司章程另有规定的除外。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第四十三条</w:t>
      </w:r>
      <w:r>
        <w:rPr>
          <w:rFonts w:hint="eastAsia" w:ascii="方正仿宋简体" w:hAnsi="微软雅黑" w:eastAsia="方正仿宋简体"/>
          <w:color w:val="333333"/>
          <w:sz w:val="26"/>
          <w:szCs w:val="26"/>
        </w:rPr>
        <w:t xml:space="preserve"> 股东会的议事方式和表决程序，除本法有规定的外，由公司章程规定。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股东会会议作出修改公司章程、增加或者减少注册资本的决议，以及公司合并、分立、解散或者变更公司形式的决议，必须经代表三分之二以上表决权的股东通过。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第四十四条</w:t>
      </w:r>
      <w:r>
        <w:rPr>
          <w:rFonts w:hint="eastAsia" w:ascii="方正仿宋简体" w:hAnsi="微软雅黑" w:eastAsia="方正仿宋简体"/>
          <w:color w:val="333333"/>
          <w:sz w:val="26"/>
          <w:szCs w:val="26"/>
        </w:rPr>
        <w:t xml:space="preserve"> 有限责任公司设董事会，其成员为三人至十三人；但是，本法第五十条 另有规定的除外。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两个以上的国有企业或者两个以上的其他国有投资主体投资设立的有限责任公司，其董事会成员中应当有公司职工代表；其他有限责任公司董事会成员中可以有公司职工代表。董事会中的职工代表由公司职工通过职工代表大会、职工大会或者其他形式民主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董事会设董事长一人，可以设副董事长。董事长、副董事长的产生办法由公司章程规定。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第四十五条</w:t>
      </w:r>
      <w:r>
        <w:rPr>
          <w:rFonts w:hint="eastAsia" w:ascii="方正仿宋简体" w:hAnsi="微软雅黑" w:eastAsia="方正仿宋简体"/>
          <w:color w:val="333333"/>
          <w:sz w:val="26"/>
          <w:szCs w:val="26"/>
        </w:rPr>
        <w:t xml:space="preserve"> 董事任期由公司章程规定，但每届任期不得超过三年。董事任期届满，连选可以连任。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董事任期届满未及时改选，或者董事在任期内辞职导致董事会成员低于法定人数的，在改选出的董事就任前，原董事仍应当依照法律、行政法规和公司章程的规定，履行董事职务。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第四十六条</w:t>
      </w:r>
      <w:r>
        <w:rPr>
          <w:rFonts w:hint="eastAsia" w:ascii="方正仿宋简体" w:hAnsi="微软雅黑" w:eastAsia="方正仿宋简体"/>
          <w:color w:val="333333"/>
          <w:sz w:val="26"/>
          <w:szCs w:val="26"/>
        </w:rPr>
        <w:t xml:space="preserve"> 董事会对股东会负责，行使下列职权：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(一)召集股东会会议，并向股东会报告工作；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(二)执行股东会的决议；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(三)决定公司的经营计划和投资方案；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(四)制订公司的年度财务预算方案、决算方案；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(五)制订公司的利润分配方案和弥补亏损方案；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(六)制订公司增加或者减少注册资本以及发行公司债券的方案；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(七)制订公司合并、分立、解散或者变更公司形式的方案；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(八)决定公司内部管理机构的设置；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(九)决定聘任或者解聘公司经理及其报酬事项，并根据经理的提名决定聘任或者解聘公司副经理、财务负责人及其报酬事项；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(十)制定公司的基本管理制度；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(十一)公司章程规定的其他职权。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第四十七条</w:t>
      </w:r>
      <w:r>
        <w:rPr>
          <w:rFonts w:hint="eastAsia" w:ascii="方正仿宋简体" w:hAnsi="微软雅黑" w:eastAsia="方正仿宋简体"/>
          <w:color w:val="333333"/>
          <w:sz w:val="26"/>
          <w:szCs w:val="26"/>
        </w:rPr>
        <w:t xml:space="preserve"> 董事会会议由董事长召集和主持；董事长不能履行职务或者不履行职务的，由副董事长召集和主持；副董事长不能履行职务或者不履行职务的，由半数以上董事共同推举一名董事召集和主持。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第四十八条</w:t>
      </w:r>
      <w:r>
        <w:rPr>
          <w:rFonts w:hint="eastAsia" w:ascii="方正仿宋简体" w:hAnsi="微软雅黑" w:eastAsia="方正仿宋简体"/>
          <w:color w:val="333333"/>
          <w:sz w:val="26"/>
          <w:szCs w:val="26"/>
        </w:rPr>
        <w:t xml:space="preserve"> 董事会的议事方式和表决程序，除本法有规定的外，由公司章程规定。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董事会应当对所议事项的决定作成会议记录，出席会议的董事应当在会议记录上签名。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董事会决议的表决，实行一人一票。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第四十九条</w:t>
      </w:r>
      <w:r>
        <w:rPr>
          <w:rFonts w:hint="eastAsia" w:ascii="方正仿宋简体" w:hAnsi="微软雅黑" w:eastAsia="方正仿宋简体"/>
          <w:color w:val="333333"/>
          <w:sz w:val="26"/>
          <w:szCs w:val="26"/>
        </w:rPr>
        <w:t xml:space="preserve"> 有限责任公司可以设经理，由董事会决定聘任或者解聘。经理对董事会负责，行使下列职权：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(一)主持公司的生产经营管理工作，组织实施董事会决议；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(二)组织实施公司年度经营计划和投资方案；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(三)拟订公司内部管理机构设置方案；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(四)拟订公司的基本管理制度；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(五)制定公司的具体规章；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(六)提请聘任或者解聘公司副经理、财务负责人；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(七)决定聘任或者解聘除应由董事会决定聘任或者解聘以外的负责管理人员；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(八)董事会授予的其他职权。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公司章程对经理职权另有规定的，从其规定。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经理列席董事会会议。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第五十条</w:t>
      </w:r>
      <w:r>
        <w:rPr>
          <w:rFonts w:hint="eastAsia" w:ascii="方正仿宋简体" w:hAnsi="微软雅黑" w:eastAsia="方正仿宋简体"/>
          <w:color w:val="333333"/>
          <w:sz w:val="26"/>
          <w:szCs w:val="26"/>
        </w:rPr>
        <w:t xml:space="preserve"> 股东人数较少或者规模较小的有限责任公司，可以设一名执行董事，不设董事会。执行董事可以兼任公司经理。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执行董事的职权由公司章程规定。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第五十一条 </w:t>
      </w:r>
      <w:r>
        <w:rPr>
          <w:rFonts w:hint="eastAsia" w:ascii="方正仿宋简体" w:hAnsi="微软雅黑" w:eastAsia="方正仿宋简体"/>
          <w:color w:val="333333"/>
          <w:sz w:val="26"/>
          <w:szCs w:val="26"/>
        </w:rPr>
        <w:t>有限责任公司设监事会，其成员不得少于三人。股东人数较少或者规模较小的有限责任公司，可以设一至二名监事，不设监事会。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应当包括股东代表和适当比例的公司职工代表，其中职工代表的比例不得低于三分之一，具体比例由公司章程规定。监事会中的职工代表由公司职工通过职工代表大会、职工大会或者其他形式民主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监事会设主席一人，由全体监事过半数选举产生。监事会主席召集和主持监事会会议；监事会主席不能履行职务或者不履行职务的，由半数以上监事共同推举一名监事召集和主持监事会会议。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董事、高级管理人员不得兼任监事。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第五十二条</w:t>
      </w:r>
      <w:r>
        <w:rPr>
          <w:rFonts w:hint="eastAsia" w:ascii="方正仿宋简体" w:hAnsi="微软雅黑" w:eastAsia="方正仿宋简体"/>
          <w:color w:val="333333"/>
          <w:sz w:val="26"/>
          <w:szCs w:val="26"/>
        </w:rPr>
        <w:t xml:space="preserve"> 监事的任期每届为三年。监事任期届满，连选可以连任。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监事任期届满未及时改选，或者监事在任期内辞职导致监事会成员低于法定人数的，在改选出的监事就任前，原监事仍应当依照法律、行政法规和公司章程的规定，履行监事职务。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第五十三条</w:t>
      </w:r>
      <w:r>
        <w:rPr>
          <w:rFonts w:hint="eastAsia" w:ascii="方正仿宋简体" w:hAnsi="微软雅黑" w:eastAsia="方正仿宋简体"/>
          <w:color w:val="333333"/>
          <w:sz w:val="26"/>
          <w:szCs w:val="26"/>
        </w:rPr>
        <w:t xml:space="preserve"> 监事会、不设监事会的公司的监事行使下列职权：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(一)检查公司财务；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(二)对董事、高级管理人员执行公司职务的行为进行监督，对违反法律、行政法规、公司章程或者股东会决议的董事、高级管理人员提出罢免的建议；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(三)当董事、高级管理人员的行为损害公司的利益时，要求董事、高级管理人员予以纠正；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(四)提议召开临时股东会会议，在董事会不履行本法规定的召集和主持股东会会议职责时召集和主持股东会会议；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(五)向股东会会议提出提案；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(六)依照本法第一百五十一条 的规定，对董事、高级管理人员提起诉讼；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(七)公司章程规定的其他职权。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第五十四条</w:t>
      </w:r>
      <w:r>
        <w:rPr>
          <w:rFonts w:hint="eastAsia" w:ascii="方正仿宋简体" w:hAnsi="微软雅黑" w:eastAsia="方正仿宋简体"/>
          <w:color w:val="333333"/>
          <w:sz w:val="26"/>
          <w:szCs w:val="26"/>
        </w:rPr>
        <w:t xml:space="preserve"> 监事可以列席董事会会议，并对董事会决议事项提出质询或者建议。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监事会、不设监事会的公司的监事发现公司经营情况异常，可以进行调查；必要时，可以聘请会计师事务所等协助其工作，费用由公司承担。</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第五十五条</w:t>
      </w:r>
      <w:r>
        <w:rPr>
          <w:rFonts w:hint="eastAsia" w:ascii="方正仿宋简体" w:hAnsi="微软雅黑" w:eastAsia="方正仿宋简体"/>
          <w:color w:val="333333"/>
          <w:sz w:val="26"/>
          <w:szCs w:val="26"/>
        </w:rPr>
        <w:t xml:space="preserve"> 监事会每年度至少召开一次会议，监事可以提议召开临时监事会会议。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监事会的议事方式和表决程序，除本法有规定的外，由公司章 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监事会决议应当经半数以上监事通过。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监事会应当对所议事项的决定作成会议记录，出席会议的监事应当在会议记录上签名。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第五十六条</w:t>
      </w:r>
      <w:r>
        <w:rPr>
          <w:rFonts w:hint="eastAsia" w:ascii="方正仿宋简体" w:hAnsi="微软雅黑" w:eastAsia="方正仿宋简体"/>
          <w:color w:val="333333"/>
          <w:sz w:val="26"/>
          <w:szCs w:val="26"/>
        </w:rPr>
        <w:t xml:space="preserve"> 监事会、不设监事会的公司的监事行使职权所必需的费用，由公司承担。</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第三节一人有限责任公司的特别规定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第五十七条 </w:t>
      </w:r>
      <w:r>
        <w:rPr>
          <w:rFonts w:hint="eastAsia" w:ascii="方正仿宋简体" w:hAnsi="微软雅黑" w:eastAsia="方正仿宋简体"/>
          <w:color w:val="333333"/>
          <w:sz w:val="26"/>
          <w:szCs w:val="26"/>
        </w:rPr>
        <w:t>一人有限责任公司的设立和组织机构，适用本节规定；本节没有规定的，适用本章第一节、第二节的规定。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本法所称一人有限责任公司，是指只有一个自然人股东或者一个法人股东的有限责任公司。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第五十八条</w:t>
      </w:r>
      <w:r>
        <w:rPr>
          <w:rFonts w:hint="eastAsia" w:ascii="方正仿宋简体" w:hAnsi="微软雅黑" w:eastAsia="方正仿宋简体"/>
          <w:color w:val="333333"/>
          <w:sz w:val="26"/>
          <w:szCs w:val="26"/>
        </w:rPr>
        <w:t xml:space="preserve"> 一个自然人只能投资设立一个一人有限责任公司。该一人有限责任公司不能投资设立新的一人有限责任公司。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第五十九条</w:t>
      </w:r>
      <w:r>
        <w:rPr>
          <w:rFonts w:hint="eastAsia" w:ascii="方正仿宋简体" w:hAnsi="微软雅黑" w:eastAsia="方正仿宋简体"/>
          <w:color w:val="333333"/>
          <w:sz w:val="26"/>
          <w:szCs w:val="26"/>
        </w:rPr>
        <w:t xml:space="preserve"> 一人有限责任公司应当在公司登记中注明自然人独资或者法人独资，并在公司营业执照中载明。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第六十条</w:t>
      </w:r>
      <w:r>
        <w:rPr>
          <w:rFonts w:hint="eastAsia" w:ascii="方正仿宋简体" w:hAnsi="微软雅黑" w:eastAsia="方正仿宋简体"/>
          <w:color w:val="333333"/>
          <w:sz w:val="26"/>
          <w:szCs w:val="26"/>
        </w:rPr>
        <w:t xml:space="preserve"> 一人有限责任公司章程由股东制定。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第六十一条</w:t>
      </w:r>
      <w:r>
        <w:rPr>
          <w:rFonts w:hint="eastAsia" w:ascii="方正仿宋简体" w:hAnsi="微软雅黑" w:eastAsia="方正仿宋简体"/>
          <w:color w:val="333333"/>
          <w:sz w:val="26"/>
          <w:szCs w:val="26"/>
        </w:rPr>
        <w:t xml:space="preserve"> 一人有限责任公司不设股东会。股东作出本法第三十七条 第一款所列决定时，应当采用书面形式，并由股东签名后置备于公司。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第六十二条</w:t>
      </w:r>
      <w:r>
        <w:rPr>
          <w:rFonts w:hint="eastAsia" w:ascii="方正仿宋简体" w:hAnsi="微软雅黑" w:eastAsia="方正仿宋简体"/>
          <w:color w:val="333333"/>
          <w:sz w:val="26"/>
          <w:szCs w:val="26"/>
        </w:rPr>
        <w:t xml:space="preserve"> 一人有限责任公司应当在每一会计年度终了时编制财务会计报告，并经会计师事务所审计。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第六十三条</w:t>
      </w:r>
      <w:r>
        <w:rPr>
          <w:rFonts w:hint="eastAsia" w:ascii="方正仿宋简体" w:hAnsi="微软雅黑" w:eastAsia="方正仿宋简体"/>
          <w:color w:val="333333"/>
          <w:sz w:val="26"/>
          <w:szCs w:val="26"/>
        </w:rPr>
        <w:t xml:space="preserve"> 一人有限责任公司的股东不能证明公司财产独立于股东自己的财产的，应当对公司债务承担连带责任。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第四节 国有独资公司的特别规定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第六十四条</w:t>
      </w:r>
      <w:r>
        <w:rPr>
          <w:rFonts w:hint="eastAsia" w:ascii="方正仿宋简体" w:hAnsi="微软雅黑" w:eastAsia="方正仿宋简体"/>
          <w:color w:val="333333"/>
          <w:sz w:val="26"/>
          <w:szCs w:val="26"/>
        </w:rPr>
        <w:t xml:space="preserve"> 国有独资公司的设立和组织机构，适用本节规定；本节没有规定的，适用本章第一节、第二节的规定。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本法所称国有独资公司，是指国家单独出资、由国务院或者地方人民政府授权本级人民政府国有资产监督管理机构履行出资人职责的有限责任公司。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第六十五条 </w:t>
      </w:r>
      <w:r>
        <w:rPr>
          <w:rFonts w:hint="eastAsia" w:ascii="方正仿宋简体" w:hAnsi="微软雅黑" w:eastAsia="方正仿宋简体"/>
          <w:color w:val="333333"/>
          <w:sz w:val="26"/>
          <w:szCs w:val="26"/>
        </w:rPr>
        <w:t>国有独资公司章程由国有资产监督管理机构制定，或者由董事会制订报国有资产监督管理机构批准。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第六十六条</w:t>
      </w:r>
      <w:r>
        <w:rPr>
          <w:rFonts w:hint="eastAsia" w:ascii="方正仿宋简体" w:hAnsi="微软雅黑" w:eastAsia="方正仿宋简体"/>
          <w:color w:val="333333"/>
          <w:sz w:val="26"/>
          <w:szCs w:val="26"/>
        </w:rPr>
        <w:t xml:space="preserve"> 国有独资公司不设股东会，由国有资产监督管理机构行使股东会职权。国有资产监督管理机构可以授权公司董事会行使股东会的部分职权，决定公司的重大事项，但公司的合并、分立、解散、增加或者减少注册资本和发行公司债券，必须由国有资产监督管理机构决定；其中，重要的国有独资公司合并、分立、解散、申请破产的，应当由国有资产监督管理机构审核后，报本级人民政府批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前款所称重要的国有独资公司，按照国务院的规定确定。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第六十七条</w:t>
      </w:r>
      <w:r>
        <w:rPr>
          <w:rFonts w:hint="eastAsia" w:ascii="方正仿宋简体" w:hAnsi="微软雅黑" w:eastAsia="方正仿宋简体"/>
          <w:color w:val="333333"/>
          <w:sz w:val="26"/>
          <w:szCs w:val="26"/>
        </w:rPr>
        <w:t xml:space="preserve"> 国有独资公司设董事会，依照本法第四十六条 、第六十六条 的规定行使职权。董事每届任期不得超过三年。董事会成员中应当有公司职工代表。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董事会成员由国有资产监督管理机构委派；但是，董事会成员中的职工代表由公司职工代表大会选举产生。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董事会设董事长一人，可以设副董事长。董事长、副董事长由国有资产监督管理机构从董事会成员中指定。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第六十八条</w:t>
      </w:r>
      <w:r>
        <w:rPr>
          <w:rFonts w:hint="eastAsia" w:ascii="方正仿宋简体" w:hAnsi="微软雅黑" w:eastAsia="方正仿宋简体"/>
          <w:color w:val="333333"/>
          <w:sz w:val="26"/>
          <w:szCs w:val="26"/>
        </w:rPr>
        <w:t xml:space="preserve"> 国有独资公司设经理，由董事会聘任或者解聘。经理依照本法第四十九条 规定行使职权。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经国有资产监督管理机构同意，董事会成员可以兼任经理。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第六十九条</w:t>
      </w:r>
      <w:r>
        <w:rPr>
          <w:rFonts w:hint="eastAsia" w:ascii="方正仿宋简体" w:hAnsi="微软雅黑" w:eastAsia="方正仿宋简体"/>
          <w:color w:val="333333"/>
          <w:sz w:val="26"/>
          <w:szCs w:val="26"/>
        </w:rPr>
        <w:t xml:space="preserve"> 国有独资公司的董事长、副董事长、董事、高级管理人员，未经国有资产监督管理机构同意，不得在其他有限责任公司、股份有限公司或者其他经济组织兼职。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第七十条</w:t>
      </w:r>
      <w:r>
        <w:rPr>
          <w:rFonts w:hint="eastAsia" w:ascii="方正仿宋简体" w:hAnsi="微软雅黑" w:eastAsia="方正仿宋简体"/>
          <w:color w:val="333333"/>
          <w:sz w:val="26"/>
          <w:szCs w:val="26"/>
        </w:rPr>
        <w:t xml:space="preserve"> 国有独资公司监事会成员不得少于五人，其中职工代表的比例不得低于三分之一，具体比例由公司章程规定。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监事会成员由国有资产监督管理机构委派；但是，监事会成员中的职工代表由公司职工代表大会选举产生。监事会主席由国有资产监督管理机构从监事会成员中指定。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监事会行使本法第五十三条 第(一)项至第(三)项规定的职权和国务院规定的其他职权。</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第三章 有限责任公司的股权转让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第七十一条</w:t>
      </w:r>
      <w:r>
        <w:rPr>
          <w:rFonts w:hint="eastAsia" w:ascii="方正仿宋简体" w:hAnsi="微软雅黑" w:eastAsia="方正仿宋简体"/>
          <w:color w:val="333333"/>
          <w:sz w:val="26"/>
          <w:szCs w:val="26"/>
        </w:rPr>
        <w:t xml:space="preserve"> 有限责任公司的股东之间可以相互转让其全部或者部分股权。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经股东同意转让的股权，在同等条 件下，其他股东有优先购买权。两个以上股东主张行使优先购买权的，协商确定各自的购买比例；协商不成的，按照转让时各自的出资比例行使优先购买权。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公司章程对股权转让另有规定的，从其规定。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第七十二条</w:t>
      </w:r>
      <w:r>
        <w:rPr>
          <w:rFonts w:hint="eastAsia" w:ascii="方正仿宋简体" w:hAnsi="微软雅黑" w:eastAsia="方正仿宋简体"/>
          <w:color w:val="333333"/>
          <w:sz w:val="26"/>
          <w:szCs w:val="26"/>
        </w:rPr>
        <w:t xml:space="preserve"> 人民法院依照法律规定的强制执行程序转让股东的股权时，应当通知公司及全体股东，其他股东在同等条 件下有优先购买权。其他股东自人民法院通知之日起满二十日不行使优先购买权的，视为放弃优先购买权。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第七十三条</w:t>
      </w:r>
      <w:r>
        <w:rPr>
          <w:rFonts w:hint="eastAsia" w:ascii="方正仿宋简体" w:hAnsi="微软雅黑" w:eastAsia="方正仿宋简体"/>
          <w:color w:val="333333"/>
          <w:sz w:val="26"/>
          <w:szCs w:val="26"/>
        </w:rPr>
        <w:t xml:space="preserve"> 依照本法第七十一条 、第七十二条 转让股权后，公司应当注销原股东的出资证明书，向新股东签发出资证明书，并相应修改公司章程和股东名册中有关股东及其出资额的记载。对公司章程的该项修改不需再由股东会表决。</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第七十四条</w:t>
      </w:r>
      <w:r>
        <w:rPr>
          <w:rFonts w:hint="eastAsia" w:ascii="方正仿宋简体" w:hAnsi="微软雅黑" w:eastAsia="方正仿宋简体"/>
          <w:color w:val="333333"/>
          <w:sz w:val="26"/>
          <w:szCs w:val="26"/>
        </w:rPr>
        <w:t xml:space="preserve"> 有下列情形之一的，对股东会该项决议投反对票的股东可以请求公司按照合理的价格收购其股权：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(一)公司连续五年不向股东分配利润，而公司该五年连续盈利，并且符合本法规定的分配利润条 件的；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(二)公司合并、分立、转让主要财产的；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(三)公司章程规定的营业期限届满或者章程规定的其他解散事由出现，股东会会议通过决议修改章程使公司存续的。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自股东会会议决议通过之日起六十日内，股东与公司不能达成股权收购协议的，股东可以自股东会会议决议通过之日起九十日内向人民法院提起诉讼。</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第七十五条</w:t>
      </w:r>
      <w:r>
        <w:rPr>
          <w:rFonts w:hint="eastAsia" w:ascii="方正仿宋简体" w:hAnsi="微软雅黑" w:eastAsia="方正仿宋简体"/>
          <w:color w:val="333333"/>
          <w:sz w:val="26"/>
          <w:szCs w:val="26"/>
        </w:rPr>
        <w:t xml:space="preserve"> 自然人股东死亡后，其合法继承人可以继承股东资格；但是，公司章程另有规定的除外。</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黑体" w:hAnsi="黑体" w:eastAsia="黑体"/>
          <w:color w:val="333333"/>
          <w:sz w:val="26"/>
          <w:szCs w:val="26"/>
        </w:rPr>
        <w:t>第四章 股份有限公司的设立和组织机构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方正仿宋简体" w:hAnsi="微软雅黑" w:eastAsia="方正仿宋简体"/>
          <w:color w:val="333333"/>
          <w:sz w:val="26"/>
          <w:szCs w:val="26"/>
        </w:rPr>
        <w:t>第一节 设立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第七十六条</w:t>
      </w:r>
      <w:r>
        <w:rPr>
          <w:rFonts w:hint="eastAsia" w:ascii="方正仿宋简体" w:hAnsi="微软雅黑" w:eastAsia="方正仿宋简体"/>
          <w:color w:val="333333"/>
          <w:sz w:val="26"/>
          <w:szCs w:val="26"/>
        </w:rPr>
        <w:t xml:space="preserve"> 设立股份有限公司，应当具备下列条 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(一)发起人符合法定人数；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(二)有符合公司章程规定的全体发起人认购的股本总额或者募集的实收股本总额；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(三)股份发行、筹办事项符合法律规定；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(四)发起人制订公司章程，采用募集方式设立的经创立大会通过；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(五)有公司名称，建立符合股份有限公司要求的组织机构；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(六)有公司住所。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第七十七条</w:t>
      </w:r>
      <w:r>
        <w:rPr>
          <w:rFonts w:hint="eastAsia" w:ascii="方正仿宋简体" w:hAnsi="微软雅黑" w:eastAsia="方正仿宋简体"/>
          <w:color w:val="333333"/>
          <w:sz w:val="26"/>
          <w:szCs w:val="26"/>
        </w:rPr>
        <w:t xml:space="preserve"> 股份有限公司的设立，可以采取发起设立或者募集设立的方式。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发起设立，是指由发起人认购公司应发行的全部股份而设立公司。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募集设立，是指由发起人认购公司应发行股份的一部分，其余股份向社会公开募集或者向特定对象募集而设立公司。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第七十八条</w:t>
      </w:r>
      <w:r>
        <w:rPr>
          <w:rFonts w:hint="eastAsia" w:ascii="方正仿宋简体" w:hAnsi="微软雅黑" w:eastAsia="方正仿宋简体"/>
          <w:color w:val="333333"/>
          <w:sz w:val="26"/>
          <w:szCs w:val="26"/>
        </w:rPr>
        <w:t xml:space="preserve"> 设立股份有限公司，应当有二人以上二百人以下为发起人，其中须有半数以上的发起人在中国境内有住所。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第七十九条</w:t>
      </w:r>
      <w:r>
        <w:rPr>
          <w:rFonts w:hint="eastAsia" w:ascii="方正仿宋简体" w:hAnsi="微软雅黑" w:eastAsia="方正仿宋简体"/>
          <w:color w:val="333333"/>
          <w:sz w:val="26"/>
          <w:szCs w:val="26"/>
        </w:rPr>
        <w:t xml:space="preserve"> 股份有限公司发起人承担公司筹办事务。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发起人应当签订发起人协议，明确各自在公司设立过程中的权利和义务。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第八十条</w:t>
      </w:r>
      <w:r>
        <w:rPr>
          <w:rFonts w:hint="eastAsia" w:ascii="方正仿宋简体" w:hAnsi="微软雅黑" w:eastAsia="方正仿宋简体"/>
          <w:color w:val="333333"/>
          <w:sz w:val="26"/>
          <w:szCs w:val="26"/>
        </w:rPr>
        <w:t xml:space="preserve"> 股份有限公司采取发起设立方式设立的，注册资本为在公司登记机关登记的全体发起人认购的股本总额。在发起人认购的股份缴足前，不得向他人募集股份。</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股份有限公司采取募集方式设立的，注册资本为在公司登记机关登记的实收股本总额。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法律、行政法规以及国务院决定对股份有限公司注册资本实缴、注册资本最低限额另有规定的，从其规定。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第八十一条</w:t>
      </w:r>
      <w:r>
        <w:rPr>
          <w:rFonts w:hint="eastAsia" w:ascii="方正仿宋简体" w:hAnsi="微软雅黑" w:eastAsia="方正仿宋简体"/>
          <w:color w:val="333333"/>
          <w:sz w:val="26"/>
          <w:szCs w:val="26"/>
        </w:rPr>
        <w:t xml:space="preserve"> 股份有限公司章程应当载明下列事项：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(一)公司名称和住所；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(二)公司经营范围；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(三)公司设立方式；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(四)公司股份总数、每股金额和注册资本；</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(五)发起人的姓名或者名称、认购的股份数、出资方式和出资时间；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(六)董事会的组成、职权和议事规则；</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(七)公司法定代表人；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(八)监事会的组成、职权和议事规则；</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(九)公司利润分配办法；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(十)公司的解散事由与清算办法；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(十一)公司的通知和公告办法；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(十二)股东大会会议认为需要规定的其他事项。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第八十二条</w:t>
      </w:r>
      <w:r>
        <w:rPr>
          <w:rFonts w:hint="eastAsia" w:ascii="方正仿宋简体" w:hAnsi="微软雅黑" w:eastAsia="方正仿宋简体"/>
          <w:color w:val="333333"/>
          <w:sz w:val="26"/>
          <w:szCs w:val="26"/>
        </w:rPr>
        <w:t xml:space="preserve"> 发起人的出资方式，适用本法第二十七条 的规定。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第八十三条</w:t>
      </w:r>
      <w:r>
        <w:rPr>
          <w:rFonts w:hint="eastAsia" w:ascii="方正仿宋简体" w:hAnsi="微软雅黑" w:eastAsia="方正仿宋简体"/>
          <w:color w:val="333333"/>
          <w:sz w:val="26"/>
          <w:szCs w:val="26"/>
        </w:rPr>
        <w:t xml:space="preserve"> 以发起设立方式设立股份有限公司的，发起人应当书面认足公司章程规定其认购的股份，并按照公司章程规定缴纳出资。以非货币财产出资的，应当依法办理其财产权的转移手续。</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发起人不依照前款规定缴纳出资的，应当按照发起人协议承担违约责任。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发起人认足公司章程规定的出资后，应当选举董事会和监事会，由董事会向公司登记机关报送公司章程以及法律、行政法规规定的其他文件，申请设立登记。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第八十四条</w:t>
      </w:r>
      <w:r>
        <w:rPr>
          <w:rFonts w:hint="eastAsia" w:ascii="方正仿宋简体" w:hAnsi="微软雅黑" w:eastAsia="方正仿宋简体"/>
          <w:color w:val="333333"/>
          <w:sz w:val="26"/>
          <w:szCs w:val="26"/>
        </w:rPr>
        <w:t xml:space="preserve"> 以募集设立方式设立股份有限公司的，发起人认购的股份不得少于公司股份总数的百分之三十五；但是，法律、行政法规另有规定的，从其规定。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第八十五条</w:t>
      </w:r>
      <w:r>
        <w:rPr>
          <w:rFonts w:hint="eastAsia" w:ascii="方正仿宋简体" w:hAnsi="微软雅黑" w:eastAsia="方正仿宋简体"/>
          <w:color w:val="333333"/>
          <w:sz w:val="26"/>
          <w:szCs w:val="26"/>
        </w:rPr>
        <w:t xml:space="preserve"> 发起人向社会公开募集股份，必须公告招股说明书，并制作认股书。认股书应当载明本法第八十六条 所列事项，由认股人填写认购股数、金额、住所，并签名、盖章。认股人按照所认购股数缴纳股款。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第八十六条</w:t>
      </w:r>
      <w:r>
        <w:rPr>
          <w:rFonts w:hint="eastAsia" w:ascii="方正仿宋简体" w:hAnsi="微软雅黑" w:eastAsia="方正仿宋简体"/>
          <w:color w:val="333333"/>
          <w:sz w:val="26"/>
          <w:szCs w:val="26"/>
        </w:rPr>
        <w:t xml:space="preserve"> 招股说明书应当附有发起人制订的公司章程，并载明下列事项：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(一)发起人认购的股份数；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(二)每股的票面金额和发行价格；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(三)无记名股票的发行总数；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(四)募集资金的用途；</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(五)认股人的权利、义务；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(六)本次募股的起止期限及逾期未募足时认股人可以撤回所认股份的说明。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第八十七条</w:t>
      </w:r>
      <w:r>
        <w:rPr>
          <w:rFonts w:hint="eastAsia" w:ascii="方正仿宋简体" w:hAnsi="微软雅黑" w:eastAsia="方正仿宋简体"/>
          <w:color w:val="333333"/>
          <w:sz w:val="26"/>
          <w:szCs w:val="26"/>
        </w:rPr>
        <w:t xml:space="preserve"> 发起人向社会公开募集股份，应当由依法设立的证券公司承销，签订承销协议。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第八十八条</w:t>
      </w:r>
      <w:r>
        <w:rPr>
          <w:rFonts w:hint="eastAsia" w:ascii="方正仿宋简体" w:hAnsi="微软雅黑" w:eastAsia="方正仿宋简体"/>
          <w:color w:val="333333"/>
          <w:sz w:val="26"/>
          <w:szCs w:val="26"/>
        </w:rPr>
        <w:t xml:space="preserve"> 发起人向社会公开募集股份，应当同银行签订代收股款协议。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代收股款的银行应当按照协议代收和保存股款，向缴纳股款的认股人出具收款单据，并负有向有关部门出具收款证明的义务。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第八十九条</w:t>
      </w:r>
      <w:r>
        <w:rPr>
          <w:rFonts w:hint="eastAsia" w:ascii="方正仿宋简体" w:hAnsi="微软雅黑" w:eastAsia="方正仿宋简体"/>
          <w:color w:val="333333"/>
          <w:sz w:val="26"/>
          <w:szCs w:val="26"/>
        </w:rPr>
        <w:t xml:space="preserve"> 发行股份的股款缴足后，必须经依法设立的验资机构验资并出具证明。发起人应当自股款缴足之日起三十日内主持召开公司创立大会。创立大会由发起人、认股人组成。</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发行的股份超过招股说明书规定的截止期限尚未募足的，或者发行股份的股款缴足后，发起人在三十日内未召开创立大会的，认股人可以按照所缴股款并加算银行同期存款利息，要求发起人返还。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第九十条</w:t>
      </w:r>
      <w:r>
        <w:rPr>
          <w:rFonts w:hint="eastAsia" w:ascii="方正仿宋简体" w:hAnsi="微软雅黑" w:eastAsia="方正仿宋简体"/>
          <w:color w:val="333333"/>
          <w:sz w:val="26"/>
          <w:szCs w:val="26"/>
        </w:rPr>
        <w:t xml:space="preserve"> 发起人应当在创立大会召开十五日前将会议日期通知各认股人或者予以公告。创立大会应有代表股份总数过半数的发起人、认股人出席，方可举行。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创立大会行使下列职权：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(一)审议发起人关于公司筹办情况的报告；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(二)通过公司章程；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(三)选举董事会成员；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(四)选举监事会成员；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(五)对公司的设立费用进行审核；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(六)对发起人用于抵作股款的财产的作价进行审核；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(七)发生不可抗力或者经营条 件发生重大变化直接影响公司设立的，可以作出不设立公司的决议。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创立大会对前款所列事项作出决议，必须经出席会议的认股人所持表决权过半数通过。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第九十一条</w:t>
      </w:r>
      <w:r>
        <w:rPr>
          <w:rFonts w:hint="eastAsia" w:ascii="方正仿宋简体" w:hAnsi="微软雅黑" w:eastAsia="方正仿宋简体"/>
          <w:color w:val="333333"/>
          <w:sz w:val="26"/>
          <w:szCs w:val="26"/>
        </w:rPr>
        <w:t xml:space="preserve"> 发起人、认股人缴纳股款或者交付抵作股款的出资后，除未按期募足股份、发起人未按期召开创立大会或者创立大会决议不设立公司的情形外，不得抽回其股本。</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第九十二条</w:t>
      </w:r>
      <w:r>
        <w:rPr>
          <w:rFonts w:hint="eastAsia" w:ascii="方正仿宋简体" w:hAnsi="微软雅黑" w:eastAsia="方正仿宋简体"/>
          <w:color w:val="333333"/>
          <w:sz w:val="26"/>
          <w:szCs w:val="26"/>
        </w:rPr>
        <w:t xml:space="preserve"> 董事会应于创立大会结束后三十日内，向公司登记机关报送下列文件，申请设立登记：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(一)公司登记申请书；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(二)创立大会的会议记录；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(三)公司章程；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(四)验资证明；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(五)法定代表人、董事、监事的任职文件及其身份证明；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(六)发起人的法人资格证明或者自然人身份证明；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(七)公司住所证明。</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以募集方式设立股份有限公司公开发行股票的，还应当向公司登记机关报送国务院证券监督管理机构的核准文件。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第九十三条</w:t>
      </w:r>
      <w:r>
        <w:rPr>
          <w:rFonts w:hint="eastAsia" w:ascii="方正仿宋简体" w:hAnsi="微软雅黑" w:eastAsia="方正仿宋简体"/>
          <w:color w:val="333333"/>
          <w:sz w:val="26"/>
          <w:szCs w:val="26"/>
        </w:rPr>
        <w:t xml:space="preserve"> 股份有限公司成立后，发起人未按照公司章程的规定缴足出资的，应当补缴；其他发起人承担连带责任。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股份有限公司成立后，发现作为设立公司出资的非货币财产的实际价额显著低于公司章程所定价额的，应当由交付该出资的发起人补足其差额；其他发起人承担连带责任。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第九十四条</w:t>
      </w:r>
      <w:r>
        <w:rPr>
          <w:rFonts w:hint="eastAsia" w:ascii="方正仿宋简体" w:hAnsi="微软雅黑" w:eastAsia="方正仿宋简体"/>
          <w:color w:val="333333"/>
          <w:sz w:val="26"/>
          <w:szCs w:val="26"/>
        </w:rPr>
        <w:t xml:space="preserve"> 股份有限公司的发起人应当承担下列责任：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(一)公司不能成立时，对设立行为所产生的债务和费用负连带责任；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(二)公司不能成立时，对认股人已缴纳的股款，负返还股款并加算银行同期存款利息的连带责任；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(三)在公司设立过程中，由于发起人的过失致使公司利益受到损害的，应当对公司承担赔偿责任。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第九十五条</w:t>
      </w:r>
      <w:r>
        <w:rPr>
          <w:rFonts w:hint="eastAsia" w:ascii="方正仿宋简体" w:hAnsi="微软雅黑" w:eastAsia="方正仿宋简体"/>
          <w:color w:val="333333"/>
          <w:sz w:val="26"/>
          <w:szCs w:val="26"/>
        </w:rPr>
        <w:t xml:space="preserve"> 有限责任公司变更为股份有限公司时，折合的实收股本总额不得高于公司净资产额。有限责任公司变更为股份有限公司，为增加资本公开发行股份时，应当依法办理。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第九十六条</w:t>
      </w:r>
      <w:r>
        <w:rPr>
          <w:rFonts w:hint="eastAsia" w:ascii="方正仿宋简体" w:hAnsi="微软雅黑" w:eastAsia="方正仿宋简体"/>
          <w:color w:val="333333"/>
          <w:sz w:val="26"/>
          <w:szCs w:val="26"/>
        </w:rPr>
        <w:t xml:space="preserve"> 股份有限公司应当将公司章程、股东名册、公司债券存根、股东大会会议记录、董事会会议记录、监事会会议记录、财务会计报告置备于本公司。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第九十七条</w:t>
      </w:r>
      <w:r>
        <w:rPr>
          <w:rFonts w:hint="eastAsia" w:ascii="方正仿宋简体" w:hAnsi="微软雅黑" w:eastAsia="方正仿宋简体"/>
          <w:color w:val="333333"/>
          <w:sz w:val="26"/>
          <w:szCs w:val="26"/>
        </w:rPr>
        <w:t xml:space="preserve"> 股东有权查阅公司章程、股东名册、公司债券存根、股东大会会议记录、董事会会议决议、监事会会议决议、财务会计报告，对公司的经营提出建议或者质询。</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第二节 股东大会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第九十八条</w:t>
      </w:r>
      <w:r>
        <w:rPr>
          <w:rFonts w:hint="eastAsia" w:ascii="方正仿宋简体" w:hAnsi="微软雅黑" w:eastAsia="方正仿宋简体"/>
          <w:color w:val="333333"/>
          <w:sz w:val="26"/>
          <w:szCs w:val="26"/>
        </w:rPr>
        <w:t xml:space="preserve"> 股份有限公司股东大会由全体股东组成。股东大会是公司的权力机构，依照本法行使职权。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第九十九条</w:t>
      </w:r>
      <w:r>
        <w:rPr>
          <w:rFonts w:hint="eastAsia" w:ascii="方正仿宋简体" w:hAnsi="微软雅黑" w:eastAsia="方正仿宋简体"/>
          <w:color w:val="333333"/>
          <w:sz w:val="26"/>
          <w:szCs w:val="26"/>
        </w:rPr>
        <w:t xml:space="preserve"> 本法第三十七条 第一款关于有限责任公司股东会职权的规定，适用于股份有限公司股东大会。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第一百条</w:t>
      </w:r>
      <w:r>
        <w:rPr>
          <w:rFonts w:hint="eastAsia" w:ascii="方正仿宋简体" w:hAnsi="微软雅黑" w:eastAsia="方正仿宋简体"/>
          <w:color w:val="333333"/>
          <w:sz w:val="26"/>
          <w:szCs w:val="26"/>
        </w:rPr>
        <w:t xml:space="preserve"> 股东大会应当每年召开一次年会。有下列情形之一的，应当在两个月内召开临时股东大会：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(一)董事人数不足本法规定人数或者公司章程所定人数的三分之二时；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(二)公司未弥补的亏损达实收股本总额三分之一时；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(三)单独或者合计持有公司百分之十以上股份的股东请求时；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(四)董事会认为必要时；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(五)监事会提议召开时；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(六)公司章程规定的其他情形。</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第一百零一条</w:t>
      </w:r>
      <w:r>
        <w:rPr>
          <w:rFonts w:hint="eastAsia" w:ascii="方正仿宋简体" w:hAnsi="微软雅黑" w:eastAsia="方正仿宋简体"/>
          <w:color w:val="333333"/>
          <w:sz w:val="26"/>
          <w:szCs w:val="26"/>
        </w:rPr>
        <w:t xml:space="preserve"> 股东大会会议由董事会召集，董事长主持；董事长不能履行职务或者不履行职务的，由副董事长主持；副董事长不能履行职务或者不履行职务的，由半数以上董事共同推举一名董事主持。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董事会不能履行或者不履行召集股东大会会议职责的，监事会应当及时召集和主持；监事会不召集和主持的，连续九十日以上单独或者合计持有公司百分之十以上股份的股东可以自行召集和主持。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第一百零二条</w:t>
      </w:r>
      <w:r>
        <w:rPr>
          <w:rFonts w:hint="eastAsia" w:ascii="方正仿宋简体" w:hAnsi="微软雅黑" w:eastAsia="方正仿宋简体"/>
          <w:color w:val="333333"/>
          <w:sz w:val="26"/>
          <w:szCs w:val="26"/>
        </w:rPr>
        <w:t xml:space="preserve"> 召开股东大会会议，应当将会议召开的时间、地点和审议的事项于会议召开二十日前通知各股东；临时股东大会应当于会议召开十五日前通知各股东；发行无记名股票的，应当于会议召开三十日前公告会议召开的时间、地点和审议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单独或者合计持有公司百分之三以上股份的股东，可以在股东大会召开十日前提出临时提案并书面提交董事会；董事会应当在收到提案后二日内通知其他股东，并将该临时提案提交股东大会审议。临时提案的内容应当属于股东大会职权范围，并有明确议题和具体决议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股东大会不得对前两款通知中未列明的事项作出决议。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无记名股票持有人出席股东大会会议的，应当于会议召开五日前至股东大会闭会时将股票交存于公司。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第一百零三条</w:t>
      </w:r>
      <w:r>
        <w:rPr>
          <w:rFonts w:hint="eastAsia" w:ascii="方正仿宋简体" w:hAnsi="微软雅黑" w:eastAsia="方正仿宋简体"/>
          <w:color w:val="333333"/>
          <w:sz w:val="26"/>
          <w:szCs w:val="26"/>
        </w:rPr>
        <w:t xml:space="preserve"> 股东出席股东大会会议，所持每一股份有一表决权。但是，公司持有的本公司股份没有表决权。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大会作出决议，必须经出席会议的股东所持表决权过半数通过。但是，股东大会作出修改公司章程、增加或者减少注册资本的决议，以及公司合并、分立、解散或者变更公司形式的决议，必须经出席会议的股东所持表决权的三分之二以上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第一百零四条</w:t>
      </w:r>
      <w:r>
        <w:rPr>
          <w:rFonts w:hint="eastAsia" w:ascii="方正仿宋简体" w:hAnsi="微软雅黑" w:eastAsia="方正仿宋简体"/>
          <w:color w:val="333333"/>
          <w:sz w:val="26"/>
          <w:szCs w:val="26"/>
        </w:rPr>
        <w:t xml:space="preserve"> 本法和公司章程规定公司转让、受让重大资产或者对外提供担保等事项必须经股东大会作出决议的，董事会应当及时召集股东大会会议，由股东大会就上述事项进行表决。</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第一百零五条</w:t>
      </w:r>
      <w:r>
        <w:rPr>
          <w:rFonts w:hint="eastAsia" w:ascii="方正仿宋简体" w:hAnsi="微软雅黑" w:eastAsia="方正仿宋简体"/>
          <w:color w:val="333333"/>
          <w:sz w:val="26"/>
          <w:szCs w:val="26"/>
        </w:rPr>
        <w:t xml:space="preserve"> 股东大会选举董事、监事，可以依照公司章程的规定或者股东大会的决议，实行累积投票制。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本法所称累积投票制，是指股东大会选举董事或者监事时，每一股份拥有与应选董事或者监事人数相同的表决权，股东拥有的表决权可以集中使用。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第一百零六条</w:t>
      </w:r>
      <w:r>
        <w:rPr>
          <w:rFonts w:hint="eastAsia" w:ascii="方正仿宋简体" w:hAnsi="微软雅黑" w:eastAsia="方正仿宋简体"/>
          <w:color w:val="333333"/>
          <w:sz w:val="26"/>
          <w:szCs w:val="26"/>
        </w:rPr>
        <w:t xml:space="preserve"> 股东可以委托代理人出席股东大会会议，代理人应当向公司提交股东授权委托书，并在授权范围内行使表决权。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第一百零七条</w:t>
      </w:r>
      <w:r>
        <w:rPr>
          <w:rFonts w:hint="eastAsia" w:ascii="方正仿宋简体" w:hAnsi="微软雅黑" w:eastAsia="方正仿宋简体"/>
          <w:color w:val="333333"/>
          <w:sz w:val="26"/>
          <w:szCs w:val="26"/>
        </w:rPr>
        <w:t xml:space="preserve"> 股东大会应当对所议事项的决定作成会议记录，主持人、出席会议的董事应当在会议记录上签名。会议记录应当与出席股东的签名册及代理出席的委托书一并保存。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第三节 董事会、经理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第一百零八条</w:t>
      </w:r>
      <w:r>
        <w:rPr>
          <w:rFonts w:hint="eastAsia" w:ascii="方正仿宋简体" w:hAnsi="微软雅黑" w:eastAsia="方正仿宋简体"/>
          <w:color w:val="333333"/>
          <w:sz w:val="26"/>
          <w:szCs w:val="26"/>
        </w:rPr>
        <w:t xml:space="preserve"> 股份有限公司设董事会，其成员为五人至十九人。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董事会成员中可以有公司职工代表。董事会中的职工代表由公司职工通过职工代表大会、职工大会或者其他形式民主选举产生。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本法第四十五条 关于有限责任公司董事任期的规定，适用于股份有限公司董事。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本法第四十六条 关于有限责任公司董事会职权的规定，适用于股份有限公司董事会。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第一百零九条</w:t>
      </w:r>
      <w:r>
        <w:rPr>
          <w:rFonts w:hint="eastAsia" w:ascii="方正仿宋简体" w:hAnsi="微软雅黑" w:eastAsia="方正仿宋简体"/>
          <w:color w:val="333333"/>
          <w:sz w:val="26"/>
          <w:szCs w:val="26"/>
        </w:rPr>
        <w:t xml:space="preserve"> 董事会设董事长一人，可以设副董事长。董事长和副董事长由董事会以全体董事的过半数选举产生。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长召集和主持董事会会议，检查董事会决议的实施情况。副董事长协助董事长工作，董事长不能履行职务或者不履行职务的，由副董事长履行职务；副董事长不能履行职务或者不履行职务的，由半数以上董事共同推举一名董事履行职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第一百一十条</w:t>
      </w:r>
      <w:r>
        <w:rPr>
          <w:rFonts w:hint="eastAsia" w:ascii="方正仿宋简体" w:hAnsi="微软雅黑" w:eastAsia="方正仿宋简体"/>
          <w:color w:val="333333"/>
          <w:sz w:val="26"/>
          <w:szCs w:val="26"/>
        </w:rPr>
        <w:t xml:space="preserve"> 董事会每年度至少召开两次会议，每次会议应当于会议召开十日前通知全体董事和监事。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代表十分之一以上表决权的股东、三分之一以上董事或者监事会，可以提议召开董事会临时会议。董事长应当自接到提议后十日内，召集和主持董事会会议。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董事会召开临时会议，可以另定召集董事会的通知方式和通知时限。</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第一百一十一条</w:t>
      </w:r>
      <w:r>
        <w:rPr>
          <w:rFonts w:hint="eastAsia" w:ascii="方正仿宋简体" w:hAnsi="微软雅黑" w:eastAsia="方正仿宋简体"/>
          <w:color w:val="333333"/>
          <w:sz w:val="26"/>
          <w:szCs w:val="26"/>
        </w:rPr>
        <w:t xml:space="preserve"> 董事会会议应有过半数的董事出席方可举行。董事会作出决议，必须经全体董事的过半数通过。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董事会决议的表决，实行一人一票。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第一百一十二条</w:t>
      </w:r>
      <w:r>
        <w:rPr>
          <w:rFonts w:hint="eastAsia" w:ascii="方正仿宋简体" w:hAnsi="微软雅黑" w:eastAsia="方正仿宋简体"/>
          <w:color w:val="333333"/>
          <w:sz w:val="26"/>
          <w:szCs w:val="26"/>
        </w:rPr>
        <w:t xml:space="preserve"> 董事会会议，应由董事本人出席；董事因故不能出席，可以书面委托其他董事代为出席，委托书中应载明授权范围。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董事会应当对会议所议事项的决定作成会议记录，出席会议的董事应当在会议记录上签名。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应当对董事会的决议承担责任。董事会的决议违反法律、行政法规或者公司章程、股东大会决议，致使公司遭受严重损失的，参与决议的董事对公司负赔偿责任。但经证明在表决时曾表明异议并记载于会议记录的，该董事可以免除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第一百一十三条</w:t>
      </w:r>
      <w:r>
        <w:rPr>
          <w:rFonts w:hint="eastAsia" w:ascii="方正仿宋简体" w:hAnsi="微软雅黑" w:eastAsia="方正仿宋简体"/>
          <w:color w:val="333333"/>
          <w:sz w:val="26"/>
          <w:szCs w:val="26"/>
        </w:rPr>
        <w:t xml:space="preserve"> 股份有限公司设经理，由董事会决定聘任或者解聘。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本法第四十九条 关于有限责任公司经理职权的规定，适用于股份有限公司经理。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第一百一十四条</w:t>
      </w:r>
      <w:r>
        <w:rPr>
          <w:rFonts w:hint="eastAsia" w:ascii="方正仿宋简体" w:hAnsi="微软雅黑" w:eastAsia="方正仿宋简体"/>
          <w:color w:val="333333"/>
          <w:sz w:val="26"/>
          <w:szCs w:val="26"/>
        </w:rPr>
        <w:t xml:space="preserve"> 公司董事会可以决定由董事会成员兼任经理。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第一百一十五条</w:t>
      </w:r>
      <w:r>
        <w:rPr>
          <w:rFonts w:hint="eastAsia" w:ascii="方正仿宋简体" w:hAnsi="微软雅黑" w:eastAsia="方正仿宋简体"/>
          <w:color w:val="333333"/>
          <w:sz w:val="26"/>
          <w:szCs w:val="26"/>
        </w:rPr>
        <w:t xml:space="preserve"> 公司不得直接或者通过子公司向董事、监事、高级管理人员提供借款。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第一百一十六条</w:t>
      </w:r>
      <w:r>
        <w:rPr>
          <w:rFonts w:hint="eastAsia" w:ascii="方正仿宋简体" w:hAnsi="微软雅黑" w:eastAsia="方正仿宋简体"/>
          <w:color w:val="333333"/>
          <w:sz w:val="26"/>
          <w:szCs w:val="26"/>
        </w:rPr>
        <w:t xml:space="preserve"> 公司应当定期向股东披露董事、监事、高级管理人员从公司获得报酬的情况。</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第四节 监事会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第一百一十七条</w:t>
      </w:r>
      <w:r>
        <w:rPr>
          <w:rFonts w:hint="eastAsia" w:ascii="方正仿宋简体" w:hAnsi="微软雅黑" w:eastAsia="方正仿宋简体"/>
          <w:color w:val="333333"/>
          <w:sz w:val="26"/>
          <w:szCs w:val="26"/>
        </w:rPr>
        <w:t xml:space="preserve"> 股份有限公司设监事会，其成员不得少于三人。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应当包括股东代表和适当比例的公司职工代表，其中职工代表的比例不得低于三分之一，具体比例由公司章程规定。监事会中的职工代表由公司职工通过职工代表大会、职工大会或者其他形式民主选举产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设主席一人，可以设副主席。监事会主席和副主席由全体监事过半数选举产生。监事会主席召集和主持监事会会议；监事会主席不能履行职务或者不履行职务的，由监事会副主席召集和主持监事会会议；监事会副主席不能履行职务或者不履行职务的，由半数以上监事共同推举一名监事召集和主持监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董事、高级管理人员不得兼任监事。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本法第五十二条 关于有限责任公司监事任期的规定，适用于股份有限公司监事。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第一百一十八条</w:t>
      </w:r>
      <w:r>
        <w:rPr>
          <w:rFonts w:hint="eastAsia" w:ascii="方正仿宋简体" w:hAnsi="微软雅黑" w:eastAsia="方正仿宋简体"/>
          <w:color w:val="333333"/>
          <w:sz w:val="26"/>
          <w:szCs w:val="26"/>
        </w:rPr>
        <w:t xml:space="preserve"> 本法第五十三条 、第五十四条 关于有限责任公司监事会职权的规定，适用于股份有限公司监事会。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监事会行使职权所必需的费用，由公司承担。</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第一百一十九条 </w:t>
      </w:r>
      <w:r>
        <w:rPr>
          <w:rFonts w:hint="eastAsia" w:ascii="方正仿宋简体" w:hAnsi="微软雅黑" w:eastAsia="方正仿宋简体"/>
          <w:color w:val="333333"/>
          <w:sz w:val="26"/>
          <w:szCs w:val="26"/>
        </w:rPr>
        <w:t>监事会每六个月至少召开一次会议。监事可以提议召开临时监事会会议。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监事会的议事方式和表决程序，除本法有规定的外，由公司章程规定。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监事会决议应当经半数以上监事通过。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监事会应当对所议事项的决定作成会议记录，出席会议的监事应当在会议记录上签名。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第五节上市公司组织机构的特别规定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第一百二十条</w:t>
      </w:r>
      <w:r>
        <w:rPr>
          <w:rFonts w:hint="eastAsia" w:ascii="方正仿宋简体" w:hAnsi="微软雅黑" w:eastAsia="方正仿宋简体"/>
          <w:color w:val="333333"/>
          <w:sz w:val="26"/>
          <w:szCs w:val="26"/>
        </w:rPr>
        <w:t xml:space="preserve"> 本法所称上市公司，是指其股票在证券交易所上市交易的股份有限公司。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第一百二十一条</w:t>
      </w:r>
      <w:r>
        <w:rPr>
          <w:rFonts w:hint="eastAsia" w:ascii="方正仿宋简体" w:hAnsi="微软雅黑" w:eastAsia="方正仿宋简体"/>
          <w:color w:val="333333"/>
          <w:sz w:val="26"/>
          <w:szCs w:val="26"/>
        </w:rPr>
        <w:t xml:space="preserve"> 上市公司在一年内购买、出售重大资产或者担保金额超过公司资产总额百分之三十的，应当由股东大会作出决议，并经出席会议的股东所持表决权的三分之二以上通过。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第一百二十二条</w:t>
      </w:r>
      <w:r>
        <w:rPr>
          <w:rFonts w:hint="eastAsia" w:ascii="方正仿宋简体" w:hAnsi="微软雅黑" w:eastAsia="方正仿宋简体"/>
          <w:color w:val="333333"/>
          <w:sz w:val="26"/>
          <w:szCs w:val="26"/>
        </w:rPr>
        <w:t xml:space="preserve"> 上市公司设独立董事，具体办法由国务院规定。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第一百二十三条</w:t>
      </w:r>
      <w:r>
        <w:rPr>
          <w:rFonts w:hint="eastAsia" w:ascii="方正仿宋简体" w:hAnsi="微软雅黑" w:eastAsia="方正仿宋简体"/>
          <w:color w:val="333333"/>
          <w:sz w:val="26"/>
          <w:szCs w:val="26"/>
        </w:rPr>
        <w:t xml:space="preserve"> 上市公司设董事会秘书，负责公司股东大会和董事会会议的筹备、文件保管以及公司股东资料的管理，办理信息披露事务等事宜。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第一百二十四条</w:t>
      </w:r>
      <w:r>
        <w:rPr>
          <w:rFonts w:hint="eastAsia" w:ascii="方正仿宋简体" w:hAnsi="微软雅黑" w:eastAsia="方正仿宋简体"/>
          <w:color w:val="333333"/>
          <w:sz w:val="26"/>
          <w:szCs w:val="26"/>
        </w:rPr>
        <w:t xml:space="preserve"> 上市公司董事与董事会会议决议事项所涉及的企业有关联关系的，不得对该项决议行使表决权，也不得代理其他董事行使表决权。该董事会会议由过半数的无关联关系董事出席即可举行，董事会会议所作决议须经无关联关系董事过半数通过。出席董事会的无关联关系董事人数不足三人的，应将该事项提交上市公司股东大会审议。</w:t>
      </w:r>
    </w:p>
    <w:p>
      <w:pPr>
        <w:pStyle w:val="12"/>
        <w:shd w:val="clear" w:color="auto" w:fill="FFFFFF"/>
        <w:spacing w:before="0" w:beforeAutospacing="0" w:after="0" w:afterAutospacing="0" w:line="400" w:lineRule="exact"/>
        <w:jc w:val="center"/>
        <w:rPr>
          <w:rStyle w:val="17"/>
          <w:rFonts w:ascii="黑体" w:hAnsi="黑体" w:eastAsia="黑体"/>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第五章 股份有限公司的股份发行和转让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方正仿宋简体" w:hAnsi="微软雅黑" w:eastAsia="方正仿宋简体"/>
          <w:color w:val="333333"/>
          <w:sz w:val="26"/>
          <w:szCs w:val="26"/>
        </w:rPr>
        <w:t>第一节 股份发行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第一百二十五条</w:t>
      </w:r>
      <w:r>
        <w:rPr>
          <w:rFonts w:hint="eastAsia" w:ascii="方正仿宋简体" w:hAnsi="微软雅黑" w:eastAsia="方正仿宋简体"/>
          <w:color w:val="333333"/>
          <w:sz w:val="26"/>
          <w:szCs w:val="26"/>
        </w:rPr>
        <w:t xml:space="preserve"> 股份有限公司的资本划分为股份，每一股的金额相等。</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公司的股份采取股票的形式。股票是公司签发的证明股东所持股份的凭证。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第一百二十六条</w:t>
      </w:r>
      <w:r>
        <w:rPr>
          <w:rFonts w:hint="eastAsia" w:ascii="方正仿宋简体" w:hAnsi="微软雅黑" w:eastAsia="方正仿宋简体"/>
          <w:color w:val="333333"/>
          <w:sz w:val="26"/>
          <w:szCs w:val="26"/>
        </w:rPr>
        <w:t xml:space="preserve"> 股份的发行，实行公平、公正的原则，同种类的每一股份应当具有同等权利。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同次发行的同种类股票，每股的发行条 件和价格应当相同；任何单位或者个人所认购的股份，每股应当支付相同价额。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第一百二十七条</w:t>
      </w:r>
      <w:r>
        <w:rPr>
          <w:rFonts w:hint="eastAsia" w:ascii="方正仿宋简体" w:hAnsi="微软雅黑" w:eastAsia="方正仿宋简体"/>
          <w:color w:val="333333"/>
          <w:sz w:val="26"/>
          <w:szCs w:val="26"/>
        </w:rPr>
        <w:t xml:space="preserve"> 股票发行价格可以按票面金额，也可以超过票面金额，但不得低于票面金额。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第一百二十八条</w:t>
      </w:r>
      <w:r>
        <w:rPr>
          <w:rFonts w:hint="eastAsia" w:ascii="方正仿宋简体" w:hAnsi="微软雅黑" w:eastAsia="方正仿宋简体"/>
          <w:color w:val="333333"/>
          <w:sz w:val="26"/>
          <w:szCs w:val="26"/>
        </w:rPr>
        <w:t xml:space="preserve"> 股票采用纸面形式或者国务院证券监督管理机构规定的其他形式。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股票应当载明下列主要事项：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(一)公司名称；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(二)公司成立日期；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(三)股票种类、票面金额及代表的股份数；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(四)股票的编号。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股票由法定代表人签名，公司盖章。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发起人的股票，应当标明发起人股票字样。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第一百二十九条</w:t>
      </w:r>
      <w:r>
        <w:rPr>
          <w:rFonts w:hint="eastAsia" w:ascii="方正仿宋简体" w:hAnsi="微软雅黑" w:eastAsia="方正仿宋简体"/>
          <w:color w:val="333333"/>
          <w:sz w:val="26"/>
          <w:szCs w:val="26"/>
        </w:rPr>
        <w:t xml:space="preserve"> 公司发行的股票，可以为记名股票，也可以为无记名股票。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公司向发起人、法人发行的股票，应当为记名股票，并应当记载该发起人、法人的名称或者姓名，不得另立户名或者以代表人姓名记名。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第一百三十条</w:t>
      </w:r>
      <w:r>
        <w:rPr>
          <w:rFonts w:hint="eastAsia" w:ascii="方正仿宋简体" w:hAnsi="微软雅黑" w:eastAsia="方正仿宋简体"/>
          <w:color w:val="333333"/>
          <w:sz w:val="26"/>
          <w:szCs w:val="26"/>
        </w:rPr>
        <w:t xml:space="preserve"> 公司发行记名股票的，应当置备股东名册，记载下列事项：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(一)股东的姓名或者名称及住所；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(二)各股东所持股份数；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(三)各股东所持股票的编号；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(四)各股东取得股份的日期。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发行无记名股票的，公司应当记载其股票数量、编号及发行日期。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第一百三十一条</w:t>
      </w:r>
      <w:r>
        <w:rPr>
          <w:rFonts w:hint="eastAsia" w:ascii="方正仿宋简体" w:hAnsi="微软雅黑" w:eastAsia="方正仿宋简体"/>
          <w:color w:val="333333"/>
          <w:sz w:val="26"/>
          <w:szCs w:val="26"/>
        </w:rPr>
        <w:t xml:space="preserve"> 国务院可以对公司发行本法规定以外的其他种类的股份，另行作出规定。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第一百三十二条</w:t>
      </w:r>
      <w:r>
        <w:rPr>
          <w:rFonts w:hint="eastAsia" w:ascii="方正仿宋简体" w:hAnsi="微软雅黑" w:eastAsia="方正仿宋简体"/>
          <w:color w:val="333333"/>
          <w:sz w:val="26"/>
          <w:szCs w:val="26"/>
        </w:rPr>
        <w:t xml:space="preserve"> 股份有限公司成立后，即向股东正式交付股票。公司成立前不得向股东交付股票。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第一百三十三条 </w:t>
      </w:r>
      <w:r>
        <w:rPr>
          <w:rFonts w:hint="eastAsia" w:ascii="方正仿宋简体" w:hAnsi="微软雅黑" w:eastAsia="方正仿宋简体"/>
          <w:color w:val="333333"/>
          <w:sz w:val="26"/>
          <w:szCs w:val="26"/>
        </w:rPr>
        <w:t>公司发行新股，股东大会应当对下列事项作出决议：</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(一)新股种类及数额；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(二)新股发行价格；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(三)新股发行的起止日期；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(四)向原有股东发行新股的种类及数额。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第一百三十四条</w:t>
      </w:r>
      <w:r>
        <w:rPr>
          <w:rFonts w:hint="eastAsia" w:ascii="方正仿宋简体" w:hAnsi="微软雅黑" w:eastAsia="方正仿宋简体"/>
          <w:color w:val="333333"/>
          <w:sz w:val="26"/>
          <w:szCs w:val="26"/>
        </w:rPr>
        <w:t xml:space="preserve"> 公司经国务院证券监督管理机构核准公开发行新股时，必须公告新股招股说明书和财务会计报告，并制作认股书。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本法第八十七条 、第八十八条 的规定适用于公司公开发行新股。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第一百三十五条</w:t>
      </w:r>
      <w:r>
        <w:rPr>
          <w:rFonts w:hint="eastAsia" w:ascii="方正仿宋简体" w:hAnsi="微软雅黑" w:eastAsia="方正仿宋简体"/>
          <w:color w:val="333333"/>
          <w:sz w:val="26"/>
          <w:szCs w:val="26"/>
        </w:rPr>
        <w:t xml:space="preserve"> 公司发行新股，可以根据公司经营情况和财务状况，确定其作价方案。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第一百三十六条</w:t>
      </w:r>
      <w:r>
        <w:rPr>
          <w:rFonts w:hint="eastAsia" w:ascii="方正仿宋简体" w:hAnsi="微软雅黑" w:eastAsia="方正仿宋简体"/>
          <w:color w:val="333333"/>
          <w:sz w:val="26"/>
          <w:szCs w:val="26"/>
        </w:rPr>
        <w:t xml:space="preserve"> 公司发行新股募足股款后，必须向公司登记机关办理变更登记，并公告。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第二节 股份转让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第一百三十七条</w:t>
      </w:r>
      <w:r>
        <w:rPr>
          <w:rFonts w:hint="eastAsia" w:ascii="方正仿宋简体" w:hAnsi="微软雅黑" w:eastAsia="方正仿宋简体"/>
          <w:color w:val="333333"/>
          <w:sz w:val="26"/>
          <w:szCs w:val="26"/>
        </w:rPr>
        <w:t xml:space="preserve"> 股东持有的股份可以依法转让。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第一百三十八条</w:t>
      </w:r>
      <w:r>
        <w:rPr>
          <w:rFonts w:hint="eastAsia" w:ascii="方正仿宋简体" w:hAnsi="微软雅黑" w:eastAsia="方正仿宋简体"/>
          <w:color w:val="333333"/>
          <w:sz w:val="26"/>
          <w:szCs w:val="26"/>
        </w:rPr>
        <w:t xml:space="preserve"> 股东转让其股份，应当在依法设立的证券交易场所进行或者按照国务院规定的其他方式进行。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第一百三十九条</w:t>
      </w:r>
      <w:r>
        <w:rPr>
          <w:rFonts w:hint="eastAsia" w:ascii="方正仿宋简体" w:hAnsi="微软雅黑" w:eastAsia="方正仿宋简体"/>
          <w:color w:val="333333"/>
          <w:sz w:val="26"/>
          <w:szCs w:val="26"/>
        </w:rPr>
        <w:t xml:space="preserve"> 记名股票，由股东以背书方式或者法律、行政法规规定的其他方式转让；转让后由公司将受让人的姓名或者名称及住所记载于股东名册。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股东大会召开前二十日内或者公司决定分配股利的基准日前五日内，不得进行前款规定的股东名册的变更登记。但是，法律对上市公司股东名册变更登记另有规定的，从其规定。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第一百四十条</w:t>
      </w:r>
      <w:r>
        <w:rPr>
          <w:rFonts w:hint="eastAsia" w:ascii="方正仿宋简体" w:hAnsi="微软雅黑" w:eastAsia="方正仿宋简体"/>
          <w:color w:val="333333"/>
          <w:sz w:val="26"/>
          <w:szCs w:val="26"/>
        </w:rPr>
        <w:t xml:space="preserve"> 无记名股票的转让，由股东将该股票交付给受让人后即发生转让的效力。</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第一百四十一条</w:t>
      </w:r>
      <w:r>
        <w:rPr>
          <w:rFonts w:hint="eastAsia" w:ascii="方正仿宋简体" w:hAnsi="微软雅黑" w:eastAsia="方正仿宋简体"/>
          <w:color w:val="333333"/>
          <w:sz w:val="26"/>
          <w:szCs w:val="26"/>
        </w:rPr>
        <w:t xml:space="preserve"> 发起人持有的本公司股份，自公司成立之日起一年内不得转让。公司公开发行股份前已发行的股份，自公司股票在证券交易所上市交易之日起一年内不得转让。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董事、监事、高级管理人员应当向公司申报所持有的本公司的股份及其变动情况，在任职期间每年转让的股份不得超过其所持有本公司股份总数的百分之二十五；所持本公司股份自公司股票上市交易之日起一年内不得转让。上述人员离职后半年内，不得转让其所持有的本公司股份。公司章程可以对公司董事、监事、高级管理人员转让其所持有的本公司股份作出其他限制性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第一百四十二条</w:t>
      </w:r>
      <w:r>
        <w:rPr>
          <w:rFonts w:hint="eastAsia" w:ascii="方正仿宋简体" w:hAnsi="微软雅黑" w:eastAsia="方正仿宋简体"/>
          <w:color w:val="333333"/>
          <w:sz w:val="26"/>
          <w:szCs w:val="26"/>
        </w:rPr>
        <w:t xml:space="preserve"> 公司不得收购本公司股份。但是，有下列情形之一的除外：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(一)减少公司注册资本；</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(二)与持有本公司股份的其他公司合并；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(三)将股份奖励给本公司职工；</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(四)股东因对股东大会作出的公司合并、分立决议持异议，要求公司收购其股份的。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因前款第(一)项至第(三)项的原因收购本公司股份的，应当经股东大会决议。公司依照前款规定收购本公司股份后，属于第(一)项情形的，应当自收购之日起十日内注销；属于第(二)项、第(四)项情形的，应当在六个月内转让或者注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公司依照第一款第(三)项规定收购的本公司股份，不得超过本公司已发行股份总额的百分之五；用于收购的资金应当从公司的税后利润中支出；所收购的股份应当在一年内转让给职工。</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公司不得接受本公司的股票作为质押权的标的。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第一百四十三条</w:t>
      </w:r>
      <w:r>
        <w:rPr>
          <w:rFonts w:hint="eastAsia" w:ascii="方正仿宋简体" w:hAnsi="微软雅黑" w:eastAsia="方正仿宋简体"/>
          <w:color w:val="333333"/>
          <w:sz w:val="26"/>
          <w:szCs w:val="26"/>
        </w:rPr>
        <w:t xml:space="preserve"> 记名股票被盗、遗失或者灭失，股东可以依照《中华人民共和国民事诉讼法》规定的公示催告程序，请求人民法院宣告该股票失效。人民法院宣告该股票失效后，股东可以向公司申请补发股票。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第一百四十四条</w:t>
      </w:r>
      <w:r>
        <w:rPr>
          <w:rFonts w:hint="eastAsia" w:ascii="方正仿宋简体" w:hAnsi="微软雅黑" w:eastAsia="方正仿宋简体"/>
          <w:color w:val="333333"/>
          <w:sz w:val="26"/>
          <w:szCs w:val="26"/>
        </w:rPr>
        <w:t xml:space="preserve"> 上市公司的股票，依照有关法律、行政法规及证券交易所交易规则上市交易。</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第一百四十五条</w:t>
      </w:r>
      <w:r>
        <w:rPr>
          <w:rFonts w:hint="eastAsia" w:ascii="方正仿宋简体" w:hAnsi="微软雅黑" w:eastAsia="方正仿宋简体"/>
          <w:color w:val="333333"/>
          <w:sz w:val="26"/>
          <w:szCs w:val="26"/>
        </w:rPr>
        <w:t xml:space="preserve"> 上市公司必须依照法律、行政法规的规定，公开其财务状况、经营情况及重大诉讼，在每会计年度内半年公布一次财务会计报告。</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黑体" w:hAnsi="黑体" w:eastAsia="黑体"/>
          <w:color w:val="333333"/>
          <w:sz w:val="26"/>
          <w:szCs w:val="26"/>
        </w:rPr>
        <w:t>第六章 公司董事、监事、高级管理人员的资格和义务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第一百四十六条</w:t>
      </w:r>
      <w:r>
        <w:rPr>
          <w:rFonts w:hint="eastAsia" w:ascii="方正仿宋简体" w:hAnsi="微软雅黑" w:eastAsia="方正仿宋简体"/>
          <w:color w:val="333333"/>
          <w:sz w:val="26"/>
          <w:szCs w:val="26"/>
        </w:rPr>
        <w:t xml:space="preserve"> 有下列情形之一的，不得担任公司的董事、监事、高级管理人员：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(一)无民事行为能力或者限制民事行为能力；</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(二)因贪污、贿赂、侵占财产、挪用财产或者破坏社会主义市场经济秩序，被判处刑罚，执行期满未逾五年，或者因犯罪被剥夺政治权利，执行期满未逾五年；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(三)担任破产清算的公司、企业的董事或者厂长、经理，对该公司、企业的破产负有个人责任的，自该公司、企业破产清算完结之日起未逾三年；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(四)担任因违法被吊销营业执照、责令关闭的公司、企业的法定代表人，并负有个人责任的，自该公司、企业被吊销营业执照之日起未逾三年；</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(五)个人所负数额较大的债务到期未清偿。</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公司违反前款规定选举、委派董事、监事或者聘任高级管理人员的，该选举、委派或者聘任无效。</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董事、监事、高级管理人员在任职期间出现本条 第一款所列情形的，公司应当解除其职务。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第一百四十七条</w:t>
      </w:r>
      <w:r>
        <w:rPr>
          <w:rFonts w:hint="eastAsia" w:ascii="方正仿宋简体" w:hAnsi="微软雅黑" w:eastAsia="方正仿宋简体"/>
          <w:color w:val="333333"/>
          <w:sz w:val="26"/>
          <w:szCs w:val="26"/>
        </w:rPr>
        <w:t xml:space="preserve"> 董事、监事、高级管理人员应当遵守法律、行政法规和公司章程，对公司负有忠实义务和勤勉义务。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董事、监事、高级管理人员不得利用职权收受贿赂或者其他非法收入，不得侵占公司的财产。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第一百四十八条</w:t>
      </w:r>
      <w:r>
        <w:rPr>
          <w:rFonts w:hint="eastAsia" w:ascii="方正仿宋简体" w:hAnsi="微软雅黑" w:eastAsia="方正仿宋简体"/>
          <w:color w:val="333333"/>
          <w:sz w:val="26"/>
          <w:szCs w:val="26"/>
        </w:rPr>
        <w:t xml:space="preserve"> 董事、高级管理人员不得有下列行为：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(一)挪用公司资金；</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(二)将公司资金以其个人名义或者以其他个人名义开立账户存储；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(三)违反公司章程的规定，未经股东会、股东大会或者董事会同意，将公司资金借贷给他人或者以公司财产为他人提供担保；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(四)违反公司章程的规定或者未经股东会、股东大会同意，与本公司订立合同或者进行交易；</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(五)未经股东会或者股东大会同意，利用职务便利为自己或者他人谋取属于公司的商业机会，自营或者为他人经营与所任职公司同类的业务；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(六)接受他人与公司交易的佣金归为己有；</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(七)擅自披露公司秘密；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(八)违反对公司忠实义务的其他行为。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董事、高级管理人员违反前款规定所得的收入应当归公司所有。</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第一百四十九条</w:t>
      </w:r>
      <w:r>
        <w:rPr>
          <w:rFonts w:hint="eastAsia" w:ascii="方正仿宋简体" w:hAnsi="微软雅黑" w:eastAsia="方正仿宋简体"/>
          <w:color w:val="333333"/>
          <w:sz w:val="26"/>
          <w:szCs w:val="26"/>
        </w:rPr>
        <w:t xml:space="preserve"> 董事、监事、高级管理人员执行公司职务时违反法律、行政法规或者公司章程的规定，给公司造成损失的，应当承担赔偿责任。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第一百五十条</w:t>
      </w:r>
      <w:r>
        <w:rPr>
          <w:rFonts w:hint="eastAsia" w:ascii="方正仿宋简体" w:hAnsi="微软雅黑" w:eastAsia="方正仿宋简体"/>
          <w:color w:val="333333"/>
          <w:sz w:val="26"/>
          <w:szCs w:val="26"/>
        </w:rPr>
        <w:t xml:space="preserve"> 股东会或者股东大会要求董事、监事、高级管理人员列席会议的，董事、监事、高级管理人员应当列席并接受股东的质询。</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董事、高级管理人员应当如实向监事会或者不设监事会的有限责任公司的监事提供有关情况和资料，不得妨碍监事会或者监事行使职权。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第一百五十一条</w:t>
      </w:r>
      <w:r>
        <w:rPr>
          <w:rFonts w:hint="eastAsia" w:ascii="方正仿宋简体" w:hAnsi="微软雅黑" w:eastAsia="方正仿宋简体"/>
          <w:color w:val="333333"/>
          <w:sz w:val="26"/>
          <w:szCs w:val="26"/>
        </w:rPr>
        <w:t xml:space="preserve"> 董事、高级管理人员有本法第一百四十九条 规定的情形的，有限责任公司的股东、股份有限公司连续一百八十日以上单独或者合计持有公司百分之一以上股份的股东，可以书面请求监事会或者不设监事会的有限责任公司的监事向人民法院提起诉讼；监事有本法第一百四十九条 规定的情形的，前述股东可以书面请求董事会或者不设董事会的有限责任公司的执行董事向人民法院提起诉讼。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监事会、不设监事会的有限责任公司的监事，或者董事会、执行董事收到前款规定的股东书面请求后拒绝提起诉讼，或者自收到请求之日起三十日内未提起诉讼，或者情况紧急、不立即提起诉讼将会使公司利益受到难以弥补的损害的，前款规定的股东有权为了公司的利益以自己的名义直接向人民法院提起诉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他人侵犯公司合法权益，给公司造成损失的，本条 第一款规定的股东可以依照前两款的规定向人民法院提起诉讼。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第一百五十二条</w:t>
      </w:r>
      <w:r>
        <w:rPr>
          <w:rFonts w:hint="eastAsia" w:ascii="方正仿宋简体" w:hAnsi="微软雅黑" w:eastAsia="方正仿宋简体"/>
          <w:color w:val="333333"/>
          <w:sz w:val="26"/>
          <w:szCs w:val="26"/>
        </w:rPr>
        <w:t xml:space="preserve"> 董事、高级管理人员违反法律、行政法规或者公司章程的规定，损害股东利益的，股东可以向人民法院提起诉讼。</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Style w:val="17"/>
          <w:rFonts w:hint="eastAsia"/>
        </w:rPr>
        <w:t>　</w:t>
      </w:r>
      <w:r>
        <w:rPr>
          <w:rStyle w:val="17"/>
          <w:rFonts w:hint="eastAsia" w:ascii="黑体" w:hAnsi="黑体" w:eastAsia="黑体"/>
          <w:color w:val="333333"/>
          <w:sz w:val="26"/>
          <w:szCs w:val="26"/>
        </w:rPr>
        <w:t>第七章 公司债券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第一百五十三条</w:t>
      </w:r>
      <w:r>
        <w:rPr>
          <w:rFonts w:hint="eastAsia" w:ascii="方正仿宋简体" w:hAnsi="微软雅黑" w:eastAsia="方正仿宋简体"/>
          <w:color w:val="333333"/>
          <w:sz w:val="26"/>
          <w:szCs w:val="26"/>
        </w:rPr>
        <w:t xml:space="preserve"> 本法所称公司债券，是指公司依照法定程序发行、约定在一定期限还本付息的有价证券。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公司发行公司债券应当符合《中华人民共和国证券法》规定的发行条 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第一百五十四条</w:t>
      </w:r>
      <w:r>
        <w:rPr>
          <w:rFonts w:hint="eastAsia" w:ascii="方正仿宋简体" w:hAnsi="微软雅黑" w:eastAsia="方正仿宋简体"/>
          <w:color w:val="333333"/>
          <w:sz w:val="26"/>
          <w:szCs w:val="26"/>
        </w:rPr>
        <w:t xml:space="preserve"> 发行公司债券的申请经国务院授权的部门核准后，应当公告公司债券募集办法。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公司债券募集办法中应当载明下列主要事项：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(一)公司名称；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(二)债券募集资金的用途；</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(三)债券总额和债券的票面金额；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(四)债券利率的确定方式；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(五)还本付息的期限和方式；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(六)债券担保情况；</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(七)债券的发行价格、发行的起止日期；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(八)公司净资产额；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(九)已发行的尚未到期的公司债券总额；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(十)公司债券的承销机构。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第一百五十五条</w:t>
      </w:r>
      <w:r>
        <w:rPr>
          <w:rFonts w:hint="eastAsia" w:ascii="方正仿宋简体" w:hAnsi="微软雅黑" w:eastAsia="方正仿宋简体"/>
          <w:color w:val="333333"/>
          <w:sz w:val="26"/>
          <w:szCs w:val="26"/>
        </w:rPr>
        <w:t xml:space="preserve"> 公司以实物券方式发行公司债券的，必须在债券上载明公司名称、债券票面金额、利率、偿还期限等事项，并由法定代表人签名，公司盖章。</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第一百五十六条</w:t>
      </w:r>
      <w:r>
        <w:rPr>
          <w:rFonts w:hint="eastAsia" w:ascii="方正仿宋简体" w:hAnsi="微软雅黑" w:eastAsia="方正仿宋简体"/>
          <w:color w:val="333333"/>
          <w:sz w:val="26"/>
          <w:szCs w:val="26"/>
        </w:rPr>
        <w:t xml:space="preserve"> 公司债券，可以为记名债券，也可以为无记名债券。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第一百五十七条</w:t>
      </w:r>
      <w:r>
        <w:rPr>
          <w:rFonts w:hint="eastAsia" w:ascii="方正仿宋简体" w:hAnsi="微软雅黑" w:eastAsia="方正仿宋简体"/>
          <w:color w:val="333333"/>
          <w:sz w:val="26"/>
          <w:szCs w:val="26"/>
        </w:rPr>
        <w:t xml:space="preserve"> 公司发行公司债券应当置备公司债券存根簿。</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发行记名公司债券的，应当在公司债券存根簿上载明下列事项：</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(一)债券持有人的姓名或者名称及住所；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(二)债券持有人取得债券的日期及债券的编号；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(三)债券总额，债券的票面金额、利率、还本付息的期限和方式；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(四)债券的发行日期。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发行无记名公司债券的，应当在公司债券存根簿上载明债券总额、利率、偿还期限和方式、发行日期及债券的编号。</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第一百五十八条</w:t>
      </w:r>
      <w:r>
        <w:rPr>
          <w:rFonts w:hint="eastAsia" w:ascii="方正仿宋简体" w:hAnsi="微软雅黑" w:eastAsia="方正仿宋简体"/>
          <w:color w:val="333333"/>
          <w:sz w:val="26"/>
          <w:szCs w:val="26"/>
        </w:rPr>
        <w:t xml:space="preserve"> 记名公司债券的登记结算机构应当建立债券登记、存管、付息、兑付等相关制度。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第一百五十九条 </w:t>
      </w:r>
      <w:r>
        <w:rPr>
          <w:rFonts w:hint="eastAsia" w:ascii="方正仿宋简体" w:hAnsi="微软雅黑" w:eastAsia="方正仿宋简体"/>
          <w:color w:val="333333"/>
          <w:sz w:val="26"/>
          <w:szCs w:val="26"/>
        </w:rPr>
        <w:t>公司债券可以转让，转让价格由转让人与受让人约定。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公司债券在证券交易所上市交易的，按照证券交易所的交易规则转让。</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第一百六十条</w:t>
      </w:r>
      <w:r>
        <w:rPr>
          <w:rFonts w:hint="eastAsia" w:ascii="方正仿宋简体" w:hAnsi="微软雅黑" w:eastAsia="方正仿宋简体"/>
          <w:color w:val="333333"/>
          <w:sz w:val="26"/>
          <w:szCs w:val="26"/>
        </w:rPr>
        <w:t xml:space="preserve"> 记名公司债券，由债券持有人以背书方式或者法律、行政法规规定的其他方式转让；转让后由公司将受让人的姓名或者名称及住所记载于公司债券存根簿。</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无记名公司债券的转让，由债券持有人将该债券交付给受让人后即发生转让的效力。</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第一百六十一条</w:t>
      </w:r>
      <w:r>
        <w:rPr>
          <w:rFonts w:hint="eastAsia" w:ascii="方正仿宋简体" w:hAnsi="微软雅黑" w:eastAsia="方正仿宋简体"/>
          <w:color w:val="333333"/>
          <w:sz w:val="26"/>
          <w:szCs w:val="26"/>
        </w:rPr>
        <w:t xml:space="preserve"> 上市公司经股东大会决议可以发行可转换为股票的公司债券，并在公司债券募集办法中规定具体的转换办法。上市公司发行可转换为股票的公司债券，应当报国务院证券监督管理机构核准。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发行可转换为股票的公司债券，应当在债券上标明可转换公司债券字样，并在公司债券存根簿上载明可转换公司债券的数额。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第一百六十二条</w:t>
      </w:r>
      <w:r>
        <w:rPr>
          <w:rFonts w:hint="eastAsia" w:ascii="方正仿宋简体" w:hAnsi="微软雅黑" w:eastAsia="方正仿宋简体"/>
          <w:color w:val="333333"/>
          <w:sz w:val="26"/>
          <w:szCs w:val="26"/>
        </w:rPr>
        <w:t xml:space="preserve"> 发行可转换为股票的公司债券的，公司应当按照其转换办法向债券持有人换发股票，但债券持有人对转换股票或者不转换股票有选择权。</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第八章 公司财务、会计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第一百六十三条</w:t>
      </w:r>
      <w:r>
        <w:rPr>
          <w:rFonts w:hint="eastAsia" w:ascii="方正仿宋简体" w:hAnsi="微软雅黑" w:eastAsia="方正仿宋简体"/>
          <w:color w:val="333333"/>
          <w:sz w:val="26"/>
          <w:szCs w:val="26"/>
        </w:rPr>
        <w:t xml:space="preserve"> 公司应当依照法律、行政法规和国务院财政部门的规定建立本公司的财务、会计制度。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第一百六十四条</w:t>
      </w:r>
      <w:r>
        <w:rPr>
          <w:rFonts w:hint="eastAsia" w:ascii="方正仿宋简体" w:hAnsi="微软雅黑" w:eastAsia="方正仿宋简体"/>
          <w:color w:val="333333"/>
          <w:sz w:val="26"/>
          <w:szCs w:val="26"/>
        </w:rPr>
        <w:t xml:space="preserve"> 公司应当在每一会计年度终了时编制财务会计报告，并依法经会计师事务所审计。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财务会计报告应当依照法律、行政法规和国务院财政部门的规定制作。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第一百六十五条</w:t>
      </w:r>
      <w:r>
        <w:rPr>
          <w:rFonts w:hint="eastAsia" w:ascii="方正仿宋简体" w:hAnsi="微软雅黑" w:eastAsia="方正仿宋简体"/>
          <w:color w:val="333333"/>
          <w:sz w:val="26"/>
          <w:szCs w:val="26"/>
        </w:rPr>
        <w:t xml:space="preserve"> 有限责任公司应当依照公司章程规定的期限将财务会计报告送交各股东。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股份有限公司的财务会计报告应当在召开股东大会年会的二十日前置备于本公司，供股东查阅；公开发行股票的股份有限公司必须公告其财务会计报告。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第一百六十六条</w:t>
      </w:r>
      <w:r>
        <w:rPr>
          <w:rFonts w:hint="eastAsia" w:ascii="方正仿宋简体" w:hAnsi="微软雅黑" w:eastAsia="方正仿宋简体"/>
          <w:color w:val="333333"/>
          <w:sz w:val="26"/>
          <w:szCs w:val="26"/>
        </w:rPr>
        <w:t xml:space="preserve"> 公司分配当年税后利润时，应当提取利润的百分之十列入公司法定公积金。公司法定公积金累计额为公司注册资本的百分之五十以上的，可以不再提取。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公司的法定公积金不足以弥补以前年度亏损的，在依照前款规定提取法定公积金之前，应当先用当年利润弥补亏损。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公司从税后利润中提取法定公积金后，经股东会或者股东大会决议，还可以从税后利润中提取任意公积金。</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公司弥补亏损和提取公积金后所余税后利润，有限责任公司依照本法第三十四条 的规定分配；股份有限公司按照股东持有的股份比例分配，但股份有限公司章程规定不按持股比例分配的除外。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股东会、股东大会或者董事会违反前款规定，在公司弥补亏损和提取法定公积金之前向股东分配利润的，股东必须将违反规定分配的利润退还公司。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公司持有的本公司股份不得分配利润。</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第一百六十七条</w:t>
      </w:r>
      <w:r>
        <w:rPr>
          <w:rFonts w:hint="eastAsia" w:ascii="方正仿宋简体" w:hAnsi="微软雅黑" w:eastAsia="方正仿宋简体"/>
          <w:color w:val="333333"/>
          <w:sz w:val="26"/>
          <w:szCs w:val="26"/>
        </w:rPr>
        <w:t xml:space="preserve"> 股份有限公司以超过股票票面金额的发行价格发行股份所得的溢价款以及国务院财政部门规定列入资本公积金的其他收入，应当列为公司资本公积金。</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第一百六十八条</w:t>
      </w:r>
      <w:r>
        <w:rPr>
          <w:rFonts w:hint="eastAsia" w:ascii="方正仿宋简体" w:hAnsi="微软雅黑" w:eastAsia="方正仿宋简体"/>
          <w:color w:val="333333"/>
          <w:sz w:val="26"/>
          <w:szCs w:val="26"/>
        </w:rPr>
        <w:t xml:space="preserve"> 公司的公积金用于弥补公司的亏损、扩大公司生产经营或者转为增加公司资本。但是，资本公积金不得用于弥补公司的亏损。</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法定公积金转为资本时，所留存的该项公积金不得少于转增前公司注册资本的百分之二十五。</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第一百六十九条</w:t>
      </w:r>
      <w:r>
        <w:rPr>
          <w:rFonts w:hint="eastAsia" w:ascii="方正仿宋简体" w:hAnsi="微软雅黑" w:eastAsia="方正仿宋简体"/>
          <w:color w:val="333333"/>
          <w:sz w:val="26"/>
          <w:szCs w:val="26"/>
        </w:rPr>
        <w:t xml:space="preserve"> 公司聘用、解聘承办公司审计业务的会计师事务所，依照公司章程的规定，由股东会、股东大会或者董事会决定。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公司股东会、股东大会或者董事会就解聘会计师事务所进行表决时，应当允许会计师事务所陈述意见。</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第一百七十条</w:t>
      </w:r>
      <w:r>
        <w:rPr>
          <w:rFonts w:hint="eastAsia" w:ascii="方正仿宋简体" w:hAnsi="微软雅黑" w:eastAsia="方正仿宋简体"/>
          <w:color w:val="333333"/>
          <w:sz w:val="26"/>
          <w:szCs w:val="26"/>
        </w:rPr>
        <w:t xml:space="preserve"> 公司应当向聘用的会计师事务所提供真实、完整的会计凭证、会计账簿、财务会计报告及其他会计资料，不得拒绝、隐匿、谎报。</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第一百七十一条</w:t>
      </w:r>
      <w:r>
        <w:rPr>
          <w:rFonts w:hint="eastAsia" w:ascii="方正仿宋简体" w:hAnsi="微软雅黑" w:eastAsia="方正仿宋简体"/>
          <w:color w:val="333333"/>
          <w:sz w:val="26"/>
          <w:szCs w:val="26"/>
        </w:rPr>
        <w:t xml:space="preserve"> 公司除法定的会计账簿外，不得另立会计账簿。</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方正仿宋简体" w:hAnsi="微软雅黑" w:eastAsia="方正仿宋简体"/>
          <w:color w:val="333333"/>
          <w:sz w:val="26"/>
          <w:szCs w:val="26"/>
        </w:rPr>
        <w:t>　　对公司资产，不得以任何个人名义开立账户存储。</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第九章 公司合并、分立、增资、减资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 xml:space="preserve">第一百七十二条 </w:t>
      </w:r>
      <w:r>
        <w:rPr>
          <w:rFonts w:hint="eastAsia" w:ascii="方正仿宋简体" w:hAnsi="微软雅黑" w:eastAsia="方正仿宋简体"/>
          <w:color w:val="333333"/>
          <w:sz w:val="26"/>
          <w:szCs w:val="26"/>
        </w:rPr>
        <w:t>公司合并可以采取吸收合并或者新设合并。</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一个公司吸收其他公司为吸收合并，被吸收的公司解散。两个以上公司合并设立一个新的公司为新设合并，合并各方解散。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第一百七十三条</w:t>
      </w:r>
      <w:r>
        <w:rPr>
          <w:rFonts w:hint="eastAsia" w:ascii="方正仿宋简体" w:hAnsi="微软雅黑" w:eastAsia="方正仿宋简体"/>
          <w:color w:val="333333"/>
          <w:sz w:val="26"/>
          <w:szCs w:val="26"/>
        </w:rPr>
        <w:t xml:space="preserve"> 公司合并，应当由合并各方签订合并协议，并编制资产负债表及财产清单。公司应当自作出合并决议之日起十日内通知债权人，并于三十日内在报纸上公告。债权人自接到通知书之日起三十日内，未接到通知书的自公告之日起四十五日内，可以要求公司清偿债务或者提供相应的担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第一百七十四条</w:t>
      </w:r>
      <w:r>
        <w:rPr>
          <w:rFonts w:hint="eastAsia" w:ascii="方正仿宋简体" w:hAnsi="微软雅黑" w:eastAsia="方正仿宋简体"/>
          <w:color w:val="333333"/>
          <w:sz w:val="26"/>
          <w:szCs w:val="26"/>
        </w:rPr>
        <w:t xml:space="preserve"> 公司合并时，合并各方的债权、债务，应当由合并后存续的公司或者新设的公司承继。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第一百七十五条</w:t>
      </w:r>
      <w:r>
        <w:rPr>
          <w:rFonts w:hint="eastAsia" w:ascii="方正仿宋简体" w:hAnsi="微软雅黑" w:eastAsia="方正仿宋简体"/>
          <w:color w:val="333333"/>
          <w:sz w:val="26"/>
          <w:szCs w:val="26"/>
        </w:rPr>
        <w:t xml:space="preserve"> 公司分立，其财产作相应的分割。</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公司分立，应当编制资产负债表及财产清单。公司应当自作出分立决议之日起十日内通知债权人，并于三十日内在报纸上公告。</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第一百七十六条</w:t>
      </w:r>
      <w:r>
        <w:rPr>
          <w:rFonts w:hint="eastAsia" w:ascii="方正仿宋简体" w:hAnsi="微软雅黑" w:eastAsia="方正仿宋简体"/>
          <w:color w:val="333333"/>
          <w:sz w:val="26"/>
          <w:szCs w:val="26"/>
        </w:rPr>
        <w:t xml:space="preserve"> 公司分立前的债务由分立后的公司承担连带责任。但是，公司在分立前与债权人就债务清偿达成的书面协议另有约定的除外。</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第一百七十七条</w:t>
      </w:r>
      <w:r>
        <w:rPr>
          <w:rFonts w:hint="eastAsia" w:ascii="方正仿宋简体" w:hAnsi="微软雅黑" w:eastAsia="方正仿宋简体"/>
          <w:color w:val="333333"/>
          <w:sz w:val="26"/>
          <w:szCs w:val="26"/>
        </w:rPr>
        <w:t xml:space="preserve"> 公司需要减少注册资本时，必须编制资产负债表及财产清单。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应当自作出减少注册资本决议之日起十日内通知债权人，并于三十日内在报纸上公告。债权人自接到通知书之日起三十日内，未接到通知书的自公告之日起四十五日内，有权要求公司清偿债务或者提供相应的担保。</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第一百七十八条 </w:t>
      </w:r>
      <w:r>
        <w:rPr>
          <w:rFonts w:hint="eastAsia" w:ascii="方正仿宋简体" w:hAnsi="微软雅黑" w:eastAsia="方正仿宋简体"/>
          <w:color w:val="333333"/>
          <w:sz w:val="26"/>
          <w:szCs w:val="26"/>
        </w:rPr>
        <w:t>有限责任公司增加注册资本时，股东认缴新增资本的出资，依照本法设立有限责任公司缴纳出资的有关规定执行。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股份有限公司为增加注册资本发行新股时，股东认购新股，依照本法设立股份有限公司缴纳股款的有关规定执行。</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第一百七十九条</w:t>
      </w:r>
      <w:r>
        <w:rPr>
          <w:rFonts w:hint="eastAsia" w:ascii="方正仿宋简体" w:hAnsi="微软雅黑" w:eastAsia="方正仿宋简体"/>
          <w:color w:val="333333"/>
          <w:sz w:val="26"/>
          <w:szCs w:val="26"/>
        </w:rPr>
        <w:t xml:space="preserve"> 公司合并或者分立，登记事项发生变更的，应当依法向公司登记机关办理变更登记；公司解散的，应当依法办理公司注销登记；设立新公司的，应当依法办理公司设立登记。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公司增加或者减少注册资本，应当依法向公司登记机关办理变更登记。</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第十章 公司解散和清算</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 xml:space="preserve">第一百八十条 </w:t>
      </w:r>
      <w:r>
        <w:rPr>
          <w:rFonts w:hint="eastAsia" w:ascii="方正仿宋简体" w:hAnsi="微软雅黑" w:eastAsia="方正仿宋简体"/>
          <w:color w:val="333333"/>
          <w:sz w:val="26"/>
          <w:szCs w:val="26"/>
        </w:rPr>
        <w:t>公司因下列原因解散：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(一)公司章程规定的营业期限届满或者公司章程规定的其他解散事由出现；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(二)股东会或者股东大会决议解散；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(三)因公司合并或者分立需要解散；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(四)依法被吊销营业执照、责令关闭或者被撤销；</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(五)人民法院依照本法第一百八十二条 的规定予以解散。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第一百八十一条</w:t>
      </w:r>
      <w:r>
        <w:rPr>
          <w:rFonts w:hint="eastAsia" w:ascii="方正仿宋简体" w:hAnsi="微软雅黑" w:eastAsia="方正仿宋简体"/>
          <w:color w:val="333333"/>
          <w:sz w:val="26"/>
          <w:szCs w:val="26"/>
        </w:rPr>
        <w:t xml:space="preserve"> 公司有本法第一百八十条 第(一)项情形的，可以通过修改公司章程而存续。</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依照前款规定修改公司章程，有限责任公司须经持有三分之二以上表决权的股东通过，股份有限公司须经出席股东大会会议的股东所持表决权的三分之二以上通过。</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第一百八十二条 公司经营管理发生严重困难，继续存续会使股东利益受到重大损失，通过</w:t>
      </w:r>
      <w:r>
        <w:rPr>
          <w:rFonts w:hint="eastAsia" w:ascii="方正仿宋简体" w:hAnsi="微软雅黑" w:eastAsia="方正仿宋简体"/>
          <w:color w:val="333333"/>
          <w:sz w:val="26"/>
          <w:szCs w:val="26"/>
        </w:rPr>
        <w:t>其他途径不能解决的，持有公司全部股东表决权百分之十以上的股东，可以请求人民法院解散公司。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第一百八十三条</w:t>
      </w:r>
      <w:r>
        <w:rPr>
          <w:rFonts w:hint="eastAsia" w:ascii="方正仿宋简体" w:hAnsi="微软雅黑" w:eastAsia="方正仿宋简体"/>
          <w:color w:val="333333"/>
          <w:sz w:val="26"/>
          <w:szCs w:val="26"/>
        </w:rPr>
        <w:t xml:space="preserve"> 公司因本法第一百八十条 第(一)项、第(二)项、第(四)项、第(五)项规定而解散的，应当在解散事由出现之日起十五日内成立清算组，开始清算。有限责任公司的清算组由股东组成，股份有限公司的清算组由董事或者股东大会确定的人员组成。逾期不成立清算组进行清算的，债权人可以申请人民法院指定有关人员组成清算组进行清算。人民法院应当受理该申请，并及时组织清算组进行清算。</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第一百八十四条</w:t>
      </w:r>
      <w:r>
        <w:rPr>
          <w:rFonts w:hint="eastAsia" w:ascii="方正仿宋简体" w:hAnsi="微软雅黑" w:eastAsia="方正仿宋简体"/>
          <w:color w:val="333333"/>
          <w:sz w:val="26"/>
          <w:szCs w:val="26"/>
        </w:rPr>
        <w:t xml:space="preserve"> 清算组在清算期间行使下列职权：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(一)清理公司财产，分别编制资产负债表和财产清单；</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(二)通知、公告债权人；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(三)处理与清算有关的公司未了结的业务；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(四)清缴所欠税款以及清算过程中产生的税款；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(五)清理债权、债务；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(六)处理公司清偿债务后的剩余财产；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(七)代表公司参与民事诉讼活动。</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第一百八十五条</w:t>
      </w:r>
      <w:r>
        <w:rPr>
          <w:rFonts w:hint="eastAsia" w:ascii="方正仿宋简体" w:hAnsi="微软雅黑" w:eastAsia="方正仿宋简体"/>
          <w:color w:val="333333"/>
          <w:sz w:val="26"/>
          <w:szCs w:val="26"/>
        </w:rPr>
        <w:t xml:space="preserve"> 清算组应当自成立之日起十日内通知债权人，并于六十日内在报纸上公告。债权人应当自接到通知书之日起三十日内，未接到通知书的自公告之日起四十五日内，向清算组申报其债权。</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债权人申报债权，应当说明债权的有关事项，并提供证明材料。清算组应当对债权进行登记。</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在申报债权期间，清算组不得对债权人进行清偿。</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第一百八十六条</w:t>
      </w:r>
      <w:r>
        <w:rPr>
          <w:rFonts w:hint="eastAsia" w:ascii="方正仿宋简体" w:hAnsi="微软雅黑" w:eastAsia="方正仿宋简体"/>
          <w:color w:val="333333"/>
          <w:sz w:val="26"/>
          <w:szCs w:val="26"/>
        </w:rPr>
        <w:t xml:space="preserve"> 清算组在清理公司财产、编制资产负债表和财产清单后，应当制定清算方案，并报股东会、股东大会或者人民法院确认。</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公司财产在分别支付清算费用、职工的工资、社会保险费用和法定补偿金，缴纳所欠税款，清偿公司债务后的剩余财产，有限责任公司按照股东的出资比例分配，股份有限公司按照股东持有的股份比例分配。</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清算期间，公司存续，但不得开展与清算无关的经营活动。公司财产在未依照前款规定清偿前，不得分配给股东。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第一百八十七条</w:t>
      </w:r>
      <w:r>
        <w:rPr>
          <w:rFonts w:hint="eastAsia" w:ascii="方正仿宋简体" w:hAnsi="微软雅黑" w:eastAsia="方正仿宋简体"/>
          <w:color w:val="333333"/>
          <w:sz w:val="26"/>
          <w:szCs w:val="26"/>
        </w:rPr>
        <w:t xml:space="preserve"> 清算组在清理公司财产、编制资产负债表和财产清单后，发现公司财产不足清偿债务的，应当依法向人民法院申请宣告破产。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公司经人民法院裁定宣告破产后，清算组应当将清算事务移交给人民法院。</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第一百八十八条</w:t>
      </w:r>
      <w:r>
        <w:rPr>
          <w:rFonts w:hint="eastAsia" w:ascii="方正仿宋简体" w:hAnsi="微软雅黑" w:eastAsia="方正仿宋简体"/>
          <w:color w:val="333333"/>
          <w:sz w:val="26"/>
          <w:szCs w:val="26"/>
        </w:rPr>
        <w:t xml:space="preserve"> 公司清算结束后，清算组应当制作清算报告，报股东会、股东大会或者人民法院确认，并报送公司登记机关，申请注销公司登记，公告公司终止。</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第一百八十九条 </w:t>
      </w:r>
      <w:r>
        <w:rPr>
          <w:rFonts w:hint="eastAsia" w:ascii="方正仿宋简体" w:hAnsi="微软雅黑" w:eastAsia="方正仿宋简体"/>
          <w:color w:val="333333"/>
          <w:sz w:val="26"/>
          <w:szCs w:val="26"/>
        </w:rPr>
        <w:t>清算组成员应当忠于职守，依法履行清算义务。</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清算组成员不得利用职权收受贿赂或者其他非法收入，不得侵占公司财产。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清算组成员因故意或者重大过失给公司或者债权人造成损失的，应当承担赔偿责任。</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第一百九十条</w:t>
      </w:r>
      <w:r>
        <w:rPr>
          <w:rFonts w:hint="eastAsia" w:ascii="方正仿宋简体" w:hAnsi="微软雅黑" w:eastAsia="方正仿宋简体"/>
          <w:color w:val="333333"/>
          <w:sz w:val="26"/>
          <w:szCs w:val="26"/>
        </w:rPr>
        <w:t xml:space="preserve"> 公司被依法宣告破产的，依照有关企业破产的法律实施破产清算。</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　</w:t>
      </w:r>
      <w:r>
        <w:rPr>
          <w:rStyle w:val="17"/>
          <w:rFonts w:hint="eastAsia" w:ascii="黑体" w:hAnsi="黑体" w:eastAsia="黑体"/>
          <w:color w:val="333333"/>
          <w:sz w:val="26"/>
          <w:szCs w:val="26"/>
        </w:rPr>
        <w:t>第十一章 外国公司的分支机构</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第一百九十一条</w:t>
      </w:r>
      <w:r>
        <w:rPr>
          <w:rFonts w:hint="eastAsia" w:ascii="方正仿宋简体" w:hAnsi="微软雅黑" w:eastAsia="方正仿宋简体"/>
          <w:color w:val="333333"/>
          <w:sz w:val="26"/>
          <w:szCs w:val="26"/>
        </w:rPr>
        <w:t xml:space="preserve"> 本法所称外国公司是指依照外国法律在中国境外设立的公司。</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第一百九十二条</w:t>
      </w:r>
      <w:r>
        <w:rPr>
          <w:rFonts w:hint="eastAsia" w:ascii="方正仿宋简体" w:hAnsi="微软雅黑" w:eastAsia="方正仿宋简体"/>
          <w:color w:val="333333"/>
          <w:sz w:val="26"/>
          <w:szCs w:val="26"/>
        </w:rPr>
        <w:t xml:space="preserve"> 外国公司在中国境内设立分支机构，必须向中国主管机关提出申请，并提交其公司章程、所属国的公司登记证书等有关文件，经批准后，向公司登记机关依法办理登记，领取营业执照。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外国公司分支机构的审批办法由国务院另行规定。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第一百九十三条</w:t>
      </w:r>
      <w:r>
        <w:rPr>
          <w:rFonts w:hint="eastAsia" w:ascii="方正仿宋简体" w:hAnsi="微软雅黑" w:eastAsia="方正仿宋简体"/>
          <w:color w:val="333333"/>
          <w:sz w:val="26"/>
          <w:szCs w:val="26"/>
        </w:rPr>
        <w:t xml:space="preserve"> 外国公司在中国境内设立分支机构，必须在中国境内指定负责该分支机构的代表人或者代理人，并向该分支机构拨付与其所从事的经营活动相适应的资金。</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对外国公司分支机构的经营资金需要规定最低限额的，由国务院另行规定。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第一百九十四条</w:t>
      </w:r>
      <w:r>
        <w:rPr>
          <w:rFonts w:hint="eastAsia" w:ascii="方正仿宋简体" w:hAnsi="微软雅黑" w:eastAsia="方正仿宋简体"/>
          <w:color w:val="333333"/>
          <w:sz w:val="26"/>
          <w:szCs w:val="26"/>
        </w:rPr>
        <w:t xml:space="preserve"> 外国公司的分支机构应当在其名称中标明该外国公司的国籍及责任形式。</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外国公司的分支机构应当在本机构中置备该外国公司章程。</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第一百九十五条</w:t>
      </w:r>
      <w:r>
        <w:rPr>
          <w:rFonts w:hint="eastAsia" w:ascii="方正仿宋简体" w:hAnsi="微软雅黑" w:eastAsia="方正仿宋简体"/>
          <w:color w:val="333333"/>
          <w:sz w:val="26"/>
          <w:szCs w:val="26"/>
        </w:rPr>
        <w:t xml:space="preserve"> 外国公司在中国境内设立的分支机构不具有中国法人资格。</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外国公司对其分支机构在中国境内进行经营活动承担民事责任。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第一百九十六条</w:t>
      </w:r>
      <w:r>
        <w:rPr>
          <w:rFonts w:hint="eastAsia" w:ascii="方正仿宋简体" w:hAnsi="微软雅黑" w:eastAsia="方正仿宋简体"/>
          <w:color w:val="333333"/>
          <w:sz w:val="26"/>
          <w:szCs w:val="26"/>
        </w:rPr>
        <w:t xml:space="preserve"> 经批准设立的外国公司分支机构，在中国境内从事业务活动，必须遵守中国的法律，不得损害中国的社会公共利益，其合法权益受中国法律保护。</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第一百九十七条</w:t>
      </w:r>
      <w:r>
        <w:rPr>
          <w:rFonts w:hint="eastAsia" w:ascii="方正仿宋简体" w:hAnsi="微软雅黑" w:eastAsia="方正仿宋简体"/>
          <w:color w:val="333333"/>
          <w:sz w:val="26"/>
          <w:szCs w:val="26"/>
        </w:rPr>
        <w:t xml:space="preserve"> 外国公司撤销其在中国境内的分支机构时，必须依法清偿债务，依照本法有关公司清算程序的规定进行清算。未清偿债务之前，不得将其分支机构的财产移至中国境外。</w:t>
      </w:r>
    </w:p>
    <w:p>
      <w:pPr>
        <w:pStyle w:val="12"/>
        <w:shd w:val="clear" w:color="auto" w:fill="FFFFFF"/>
        <w:spacing w:before="0" w:beforeAutospacing="0" w:after="0" w:afterAutospacing="0" w:line="400" w:lineRule="exact"/>
        <w:jc w:val="center"/>
        <w:rPr>
          <w:rFonts w:ascii="微软雅黑" w:hAnsi="微软雅黑" w:eastAsia="微软雅黑"/>
          <w:color w:val="333333"/>
          <w:sz w:val="26"/>
          <w:szCs w:val="26"/>
        </w:rPr>
      </w:pPr>
      <w:r>
        <w:rPr>
          <w:rFonts w:hint="eastAsia" w:ascii="微软雅黑" w:hAnsi="微软雅黑" w:eastAsia="微软雅黑"/>
          <w:color w:val="333333"/>
          <w:sz w:val="26"/>
          <w:szCs w:val="26"/>
        </w:rPr>
        <w:t>　　</w:t>
      </w:r>
      <w:r>
        <w:rPr>
          <w:rStyle w:val="17"/>
          <w:rFonts w:hint="eastAsia" w:ascii="微软雅黑" w:hAnsi="微软雅黑" w:eastAsia="微软雅黑"/>
          <w:color w:val="333333"/>
          <w:sz w:val="26"/>
          <w:szCs w:val="26"/>
        </w:rPr>
        <w:t>第十二章 法律责任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方正仿宋简体" w:hAnsi="微软雅黑" w:eastAsia="方正仿宋简体"/>
          <w:color w:val="333333"/>
          <w:sz w:val="26"/>
          <w:szCs w:val="26"/>
        </w:rPr>
        <w:t>第一百九十八条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第一百九十九条</w:t>
      </w:r>
      <w:r>
        <w:rPr>
          <w:rFonts w:hint="eastAsia" w:ascii="方正仿宋简体" w:hAnsi="微软雅黑" w:eastAsia="方正仿宋简体"/>
          <w:color w:val="333333"/>
          <w:sz w:val="26"/>
          <w:szCs w:val="26"/>
        </w:rPr>
        <w:t xml:space="preserve"> 公司的发起人、股东虚假出资，未交付或者未按期交付作为出资的货币或者非货币财产的，由公司登记机关责令改正，处以虚假出资金额百分之五以上百分之十五以下的罚款。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第二百条</w:t>
      </w:r>
      <w:r>
        <w:rPr>
          <w:rFonts w:hint="eastAsia" w:ascii="方正仿宋简体" w:hAnsi="微软雅黑" w:eastAsia="方正仿宋简体"/>
          <w:color w:val="333333"/>
          <w:sz w:val="26"/>
          <w:szCs w:val="26"/>
        </w:rPr>
        <w:t xml:space="preserve"> 公司的发起人、股东在公司成立后，抽逃其出资的，由公司登记机关责令改正，处以所抽逃出资金额百分之五以上百分之十五以下的罚款。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第二百零一条</w:t>
      </w:r>
      <w:r>
        <w:rPr>
          <w:rFonts w:hint="eastAsia" w:ascii="方正仿宋简体" w:hAnsi="微软雅黑" w:eastAsia="方正仿宋简体"/>
          <w:color w:val="333333"/>
          <w:sz w:val="26"/>
          <w:szCs w:val="26"/>
        </w:rPr>
        <w:t xml:space="preserve"> 公司违反本法规定，在法定的会计账簿以外另立会计账簿的，由县级以上人民政府财政部门责令改正，处以五万元以上五十万元以下的罚款。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第二百零二条</w:t>
      </w:r>
      <w:r>
        <w:rPr>
          <w:rFonts w:hint="eastAsia" w:ascii="方正仿宋简体" w:hAnsi="微软雅黑" w:eastAsia="方正仿宋简体"/>
          <w:color w:val="333333"/>
          <w:sz w:val="26"/>
          <w:szCs w:val="26"/>
        </w:rPr>
        <w:t xml:space="preserve"> 公司在依法向有关主管部门提供的财务会计报告等材料上作虚假记载或者隐瞒重要事实的，由有关主管部门对直接负责的主管人员和其他直接责任人员处以三万元以上三十万元以下的罚款。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第二百零三条</w:t>
      </w:r>
      <w:r>
        <w:rPr>
          <w:rFonts w:hint="eastAsia" w:ascii="方正仿宋简体" w:hAnsi="微软雅黑" w:eastAsia="方正仿宋简体"/>
          <w:color w:val="333333"/>
          <w:sz w:val="26"/>
          <w:szCs w:val="26"/>
        </w:rPr>
        <w:t xml:space="preserve"> 公司不依照本法规定提取法定公积金的，由县级以上人民政府财政部门责令如数补足应当提取的金额，可以对公司处以二十万元以下的罚款。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第二百零四条</w:t>
      </w:r>
      <w:r>
        <w:rPr>
          <w:rFonts w:hint="eastAsia" w:ascii="方正仿宋简体" w:hAnsi="微软雅黑" w:eastAsia="方正仿宋简体"/>
          <w:color w:val="333333"/>
          <w:sz w:val="26"/>
          <w:szCs w:val="26"/>
        </w:rPr>
        <w:t xml:space="preserve"> 公司在合并、分立、减少注册资本或者进行清算时，不依照本法规定通知或者公告债权人的，由公司登记机关责令改正，对公司处以一万元以上十万元以下的罚款。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 xml:space="preserve">第二百零五条 </w:t>
      </w:r>
      <w:r>
        <w:rPr>
          <w:rFonts w:hint="eastAsia" w:ascii="方正仿宋简体" w:hAnsi="微软雅黑" w:eastAsia="方正仿宋简体"/>
          <w:color w:val="333333"/>
          <w:sz w:val="26"/>
          <w:szCs w:val="26"/>
        </w:rPr>
        <w:t>公司在清算期间开展与清算无关的经营活动的，由公司登记机关予以警告，没收违法所得。</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第二百零六条</w:t>
      </w:r>
      <w:r>
        <w:rPr>
          <w:rFonts w:hint="eastAsia" w:ascii="方正仿宋简体" w:hAnsi="微软雅黑" w:eastAsia="方正仿宋简体"/>
          <w:color w:val="333333"/>
          <w:sz w:val="26"/>
          <w:szCs w:val="26"/>
        </w:rPr>
        <w:t xml:space="preserve"> 清算组不依照本法规定向公司登记机关报送清算报告，或者报送清算报告隐瞒重要事实或者有重大遗漏的，由公司登记机关责令改正。</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清算组成员利用职权徇私舞弊、谋取非法收入或者侵占公司财产的，由公司登记机关责令退还公司财产，没收违法所得，并可以处以违法所得一倍以上五倍以下的罚款。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第二百零七条</w:t>
      </w:r>
      <w:r>
        <w:rPr>
          <w:rFonts w:hint="eastAsia" w:ascii="方正仿宋简体" w:hAnsi="微软雅黑" w:eastAsia="方正仿宋简体"/>
          <w:color w:val="333333"/>
          <w:sz w:val="26"/>
          <w:szCs w:val="26"/>
        </w:rPr>
        <w:t xml:space="preserve"> 承担资产评估、验资或者验证的机构提供虚假材料的，由公司登记机关没收违法所得，处以违法所得一倍以上五倍以下的罚款，并可以由有关主管部门依法责令该机构停业、吊销直接责任人员的资格证书，吊销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承担资产评估、验资或者验证的机构因其出具的评估结果、验资或者验证证明不实，给公司债权人造成损失的，除能够证明自己没有过错的外，在其评估或者证明不实的金额范围内承担赔偿责任。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第二百零八条</w:t>
      </w:r>
      <w:r>
        <w:rPr>
          <w:rFonts w:hint="eastAsia" w:ascii="方正仿宋简体" w:hAnsi="微软雅黑" w:eastAsia="方正仿宋简体"/>
          <w:color w:val="333333"/>
          <w:sz w:val="26"/>
          <w:szCs w:val="26"/>
        </w:rPr>
        <w:t xml:space="preserve"> 公司登记机关对不符合本法规定条 件的登记申请予以登记，或者对符合本法规定条 件的登记申请不予登记的，对直接负责的主管人员和其他直接责任人员，依法给予行政处分。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第二百零九条</w:t>
      </w:r>
      <w:r>
        <w:rPr>
          <w:rFonts w:hint="eastAsia" w:ascii="方正仿宋简体" w:hAnsi="微软雅黑" w:eastAsia="方正仿宋简体"/>
          <w:color w:val="333333"/>
          <w:sz w:val="26"/>
          <w:szCs w:val="26"/>
        </w:rPr>
        <w:t xml:space="preserve"> 公司登记机关的上级部门强令公司登记机关对不符合本法规定条 件的登记申请予以登记，或者对符合本法规定条 件的登记申请不予登记的，或者对违法登记进行包庇的，对直接负责的主管人员和其他直接责任人员依法给予行政处分。</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第二百一十条</w:t>
      </w:r>
      <w:r>
        <w:rPr>
          <w:rFonts w:hint="eastAsia" w:ascii="方正仿宋简体" w:hAnsi="微软雅黑" w:eastAsia="方正仿宋简体"/>
          <w:color w:val="333333"/>
          <w:sz w:val="26"/>
          <w:szCs w:val="26"/>
        </w:rPr>
        <w:t xml:space="preserve">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第二百一十一条</w:t>
      </w:r>
      <w:r>
        <w:rPr>
          <w:rFonts w:hint="eastAsia" w:ascii="方正仿宋简体" w:hAnsi="微软雅黑" w:eastAsia="方正仿宋简体"/>
          <w:color w:val="333333"/>
          <w:sz w:val="26"/>
          <w:szCs w:val="26"/>
        </w:rPr>
        <w:t xml:space="preserve"> 公司成立后无正当理由超过六个月未开业的，或者开业后自行停业连续六个月以上的，可以由公司登记机关吊销营业执照。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公司登记事项发生变更时，未依照本法规定办理有关变更登记的，由公司登记机关责令限期登记；逾期不登记的，处以一万元以上十万元以下的罚款。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第二百一十二条</w:t>
      </w:r>
      <w:r>
        <w:rPr>
          <w:rFonts w:hint="eastAsia" w:ascii="方正仿宋简体" w:hAnsi="微软雅黑" w:eastAsia="方正仿宋简体"/>
          <w:color w:val="333333"/>
          <w:sz w:val="26"/>
          <w:szCs w:val="26"/>
        </w:rPr>
        <w:t xml:space="preserve"> 外国公司违反本法规定，擅自在中国境内设立分支机构的，由公司登记机关责令改正或者关闭，可以并处五万元以上二十万元以下的罚款。</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第二百一十三条</w:t>
      </w:r>
      <w:r>
        <w:rPr>
          <w:rFonts w:hint="eastAsia" w:ascii="方正仿宋简体" w:hAnsi="微软雅黑" w:eastAsia="方正仿宋简体"/>
          <w:color w:val="333333"/>
          <w:sz w:val="26"/>
          <w:szCs w:val="26"/>
        </w:rPr>
        <w:t xml:space="preserve"> 利用公司名义从事危害国家安全、社会公共利益的严重违法行为的，吊销营业执照。</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第二百一十四条</w:t>
      </w:r>
      <w:r>
        <w:rPr>
          <w:rFonts w:hint="eastAsia" w:ascii="方正仿宋简体" w:hAnsi="微软雅黑" w:eastAsia="方正仿宋简体"/>
          <w:color w:val="333333"/>
          <w:sz w:val="26"/>
          <w:szCs w:val="26"/>
        </w:rPr>
        <w:t xml:space="preserve"> 公司违反本法规定，应当承担民事赔偿责任和缴纳罚款、罚金的，其财产不足以支付时，先承担民事赔偿责任。</w:t>
      </w:r>
    </w:p>
    <w:p>
      <w:pPr>
        <w:pStyle w:val="12"/>
        <w:shd w:val="clear" w:color="auto" w:fill="FFFFFF"/>
        <w:spacing w:before="0" w:beforeAutospacing="0" w:after="0" w:afterAutospacing="0" w:line="400" w:lineRule="exact"/>
        <w:jc w:val="both"/>
        <w:rPr>
          <w:rFonts w:ascii="微软雅黑" w:hAnsi="微软雅黑" w:eastAsia="微软雅黑"/>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第二百一十五条</w:t>
      </w:r>
      <w:r>
        <w:rPr>
          <w:rFonts w:hint="eastAsia" w:ascii="方正仿宋简体" w:hAnsi="微软雅黑" w:eastAsia="方正仿宋简体"/>
          <w:color w:val="333333"/>
          <w:sz w:val="26"/>
          <w:szCs w:val="26"/>
        </w:rPr>
        <w:t xml:space="preserve"> 违反本法规定，构成犯罪的，依法追究刑事责任。</w:t>
      </w:r>
    </w:p>
    <w:p>
      <w:pPr>
        <w:pStyle w:val="12"/>
        <w:shd w:val="clear" w:color="auto" w:fill="FFFFFF"/>
        <w:spacing w:before="0" w:beforeAutospacing="0" w:after="0" w:afterAutospacing="0" w:line="400" w:lineRule="exact"/>
        <w:jc w:val="center"/>
        <w:rPr>
          <w:rStyle w:val="17"/>
          <w:rFonts w:ascii="黑体" w:hAnsi="黑体" w:eastAsia="黑体"/>
        </w:rPr>
      </w:pPr>
      <w:r>
        <w:rPr>
          <w:rFonts w:hint="eastAsia" w:ascii="微软雅黑" w:hAnsi="微软雅黑" w:eastAsia="微软雅黑"/>
          <w:color w:val="333333"/>
          <w:sz w:val="26"/>
          <w:szCs w:val="26"/>
        </w:rPr>
        <w:t>　　</w:t>
      </w:r>
      <w:r>
        <w:rPr>
          <w:rStyle w:val="17"/>
          <w:rFonts w:hint="eastAsia" w:ascii="黑体" w:hAnsi="黑体" w:eastAsia="黑体"/>
        </w:rPr>
        <w:t>第十三章 附则</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微软雅黑" w:hAnsi="微软雅黑" w:eastAsia="微软雅黑"/>
          <w:color w:val="333333"/>
          <w:sz w:val="26"/>
          <w:szCs w:val="26"/>
        </w:rPr>
        <w:t>　　</w:t>
      </w:r>
      <w:r>
        <w:rPr>
          <w:rFonts w:hint="eastAsia" w:ascii="楷体" w:hAnsi="楷体" w:eastAsia="楷体"/>
          <w:color w:val="333333"/>
          <w:sz w:val="26"/>
          <w:szCs w:val="26"/>
        </w:rPr>
        <w:t>第二百一十六条</w:t>
      </w:r>
      <w:r>
        <w:rPr>
          <w:rFonts w:hint="eastAsia" w:ascii="方正仿宋简体" w:hAnsi="微软雅黑" w:eastAsia="方正仿宋简体"/>
          <w:color w:val="333333"/>
          <w:sz w:val="26"/>
          <w:szCs w:val="26"/>
        </w:rPr>
        <w:t xml:space="preserve"> 本法下列用语的含义：</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(一)高级管理人员，是指公司的经理、副经理、财务负责人，上市公司董事会秘书和公司章程规定的其他人员。</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二)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(三)实际控制人，是指虽不是公司的股东，但通过投资关系、协议或者其他安排，能够实际支配公司行为的人。</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四)关联关系，是指公司控股股东、实际控制人、董事、监事、高级管理人员与其直接或者间接控制的企业之间的关系，以及可能导致公司利益转移的其他关系。但是，国家控股的企业之间不仅因为同受国家控股而具有关联关系。</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第二百一十七条</w:t>
      </w:r>
      <w:r>
        <w:rPr>
          <w:rFonts w:hint="eastAsia" w:ascii="方正仿宋简体" w:hAnsi="微软雅黑" w:eastAsia="方正仿宋简体"/>
          <w:color w:val="333333"/>
          <w:sz w:val="26"/>
          <w:szCs w:val="26"/>
        </w:rPr>
        <w:t xml:space="preserve"> 外商投资的有限责任公司和股份有限公司适用本法；有关外商投资的法律另有规定的，适用其规定。</w: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r>
        <w:rPr>
          <w:rFonts w:hint="eastAsia" w:ascii="方正仿宋简体" w:hAnsi="微软雅黑" w:eastAsia="方正仿宋简体"/>
          <w:color w:val="333333"/>
          <w:sz w:val="26"/>
          <w:szCs w:val="26"/>
        </w:rPr>
        <w:t>　　</w:t>
      </w:r>
      <w:r>
        <w:rPr>
          <w:rFonts w:hint="eastAsia" w:ascii="楷体" w:hAnsi="楷体" w:eastAsia="楷体"/>
          <w:color w:val="333333"/>
          <w:sz w:val="26"/>
          <w:szCs w:val="26"/>
        </w:rPr>
        <w:t>第二百一十八条</w:t>
      </w:r>
      <w:r>
        <w:rPr>
          <w:rFonts w:hint="eastAsia" w:ascii="方正仿宋简体" w:hAnsi="微软雅黑" w:eastAsia="方正仿宋简体"/>
          <w:color w:val="333333"/>
          <w:sz w:val="26"/>
          <w:szCs w:val="26"/>
        </w:rPr>
        <w:t xml:space="preserve"> 本法自2006年1月1日起施行。</w:t>
      </w: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p>
    <w:p>
      <w:pPr>
        <w:widowControl/>
        <w:spacing w:line="611" w:lineRule="atLeast"/>
        <w:jc w:val="center"/>
        <w:outlineLvl w:val="1"/>
        <w:rPr>
          <w:rFonts w:ascii="宋体" w:hAnsi="宋体" w:eastAsia="宋体" w:cs="宋体"/>
          <w:b/>
          <w:bCs/>
          <w:kern w:val="0"/>
          <w:sz w:val="33"/>
          <w:szCs w:val="33"/>
        </w:rPr>
      </w:pPr>
      <w:r>
        <w:rPr>
          <w:rFonts w:ascii="宋体" w:hAnsi="宋体" w:eastAsia="宋体" w:cs="宋体"/>
          <w:b/>
          <w:bCs/>
          <w:kern w:val="0"/>
          <w:sz w:val="33"/>
          <w:szCs w:val="33"/>
        </w:rPr>
        <w:t>中华人民共和国预算法</w:t>
      </w:r>
    </w:p>
    <w:p>
      <w:pPr>
        <w:pStyle w:val="12"/>
        <w:shd w:val="clear" w:color="auto" w:fill="FFFFFF"/>
        <w:spacing w:before="0" w:beforeAutospacing="0" w:after="0" w:afterAutospacing="0" w:line="400" w:lineRule="exact"/>
        <w:jc w:val="both"/>
        <w:rPr>
          <w:rFonts w:ascii="Calibri" w:hAnsi="Calibri"/>
          <w:color w:val="404040"/>
          <w:sz w:val="26"/>
          <w:szCs w:val="26"/>
        </w:rPr>
      </w:pPr>
      <w:r>
        <w:rPr>
          <w:rFonts w:hint="eastAsia" w:ascii="仿宋" w:hAnsi="仿宋" w:eastAsia="仿宋"/>
          <w:color w:val="404040"/>
          <w:sz w:val="26"/>
          <w:szCs w:val="26"/>
        </w:rPr>
        <w:t>（</w:t>
      </w:r>
      <w:r>
        <w:rPr>
          <w:rFonts w:hint="eastAsia" w:ascii="微软雅黑" w:hAnsi="微软雅黑" w:eastAsia="微软雅黑"/>
          <w:color w:val="404040"/>
          <w:sz w:val="26"/>
          <w:szCs w:val="26"/>
        </w:rPr>
        <w:t>1994</w:t>
      </w:r>
      <w:r>
        <w:rPr>
          <w:rFonts w:hint="eastAsia" w:ascii="仿宋" w:hAnsi="仿宋" w:eastAsia="仿宋"/>
          <w:color w:val="404040"/>
          <w:sz w:val="26"/>
          <w:szCs w:val="26"/>
        </w:rPr>
        <w:t>年</w:t>
      </w:r>
      <w:r>
        <w:rPr>
          <w:rFonts w:hint="eastAsia" w:ascii="微软雅黑" w:hAnsi="微软雅黑" w:eastAsia="微软雅黑"/>
          <w:color w:val="404040"/>
          <w:sz w:val="26"/>
          <w:szCs w:val="26"/>
        </w:rPr>
        <w:t>3</w:t>
      </w:r>
      <w:r>
        <w:rPr>
          <w:rFonts w:hint="eastAsia" w:ascii="仿宋" w:hAnsi="仿宋" w:eastAsia="仿宋"/>
          <w:color w:val="404040"/>
          <w:sz w:val="26"/>
          <w:szCs w:val="26"/>
        </w:rPr>
        <w:t>月</w:t>
      </w:r>
      <w:r>
        <w:rPr>
          <w:rFonts w:hint="eastAsia" w:ascii="微软雅黑" w:hAnsi="微软雅黑" w:eastAsia="微软雅黑"/>
          <w:color w:val="404040"/>
          <w:sz w:val="26"/>
          <w:szCs w:val="26"/>
        </w:rPr>
        <w:t>22</w:t>
      </w:r>
      <w:r>
        <w:rPr>
          <w:rFonts w:hint="eastAsia" w:ascii="仿宋" w:hAnsi="仿宋" w:eastAsia="仿宋"/>
          <w:color w:val="404040"/>
          <w:sz w:val="26"/>
          <w:szCs w:val="26"/>
        </w:rPr>
        <w:t>日第八届全国人民代表大会第二次会议通过根据</w:t>
      </w:r>
      <w:r>
        <w:rPr>
          <w:rFonts w:hint="eastAsia" w:ascii="微软雅黑" w:hAnsi="微软雅黑" w:eastAsia="微软雅黑"/>
          <w:color w:val="404040"/>
          <w:sz w:val="26"/>
          <w:szCs w:val="26"/>
        </w:rPr>
        <w:t>2014</w:t>
      </w:r>
      <w:r>
        <w:rPr>
          <w:rFonts w:hint="eastAsia" w:ascii="仿宋" w:hAnsi="仿宋" w:eastAsia="仿宋"/>
          <w:color w:val="404040"/>
          <w:sz w:val="26"/>
          <w:szCs w:val="26"/>
        </w:rPr>
        <w:t>年</w:t>
      </w:r>
      <w:r>
        <w:rPr>
          <w:rFonts w:hint="eastAsia" w:ascii="微软雅黑" w:hAnsi="微软雅黑" w:eastAsia="微软雅黑"/>
          <w:color w:val="404040"/>
          <w:sz w:val="26"/>
          <w:szCs w:val="26"/>
        </w:rPr>
        <w:t>8</w:t>
      </w:r>
      <w:r>
        <w:rPr>
          <w:rFonts w:hint="eastAsia" w:ascii="仿宋" w:hAnsi="仿宋" w:eastAsia="仿宋"/>
          <w:color w:val="404040"/>
          <w:sz w:val="26"/>
          <w:szCs w:val="26"/>
        </w:rPr>
        <w:t>月</w:t>
      </w:r>
      <w:r>
        <w:rPr>
          <w:rFonts w:hint="eastAsia" w:ascii="微软雅黑" w:hAnsi="微软雅黑" w:eastAsia="微软雅黑"/>
          <w:color w:val="404040"/>
          <w:sz w:val="26"/>
          <w:szCs w:val="26"/>
        </w:rPr>
        <w:t>31</w:t>
      </w:r>
      <w:r>
        <w:rPr>
          <w:rFonts w:hint="eastAsia" w:ascii="仿宋" w:hAnsi="仿宋" w:eastAsia="仿宋"/>
          <w:color w:val="404040"/>
          <w:sz w:val="26"/>
          <w:szCs w:val="26"/>
        </w:rPr>
        <w:t>日第十二届全国人民代表大会常务委员会第十次会议《关于修改〈中华人民共和国预算法〉的决定》第一次修正　根据</w:t>
      </w:r>
      <w:r>
        <w:rPr>
          <w:rFonts w:hint="eastAsia" w:ascii="微软雅黑" w:hAnsi="微软雅黑" w:eastAsia="微软雅黑"/>
          <w:color w:val="404040"/>
          <w:sz w:val="26"/>
          <w:szCs w:val="26"/>
        </w:rPr>
        <w:t>2018</w:t>
      </w:r>
      <w:r>
        <w:rPr>
          <w:rFonts w:hint="eastAsia" w:ascii="仿宋" w:hAnsi="仿宋" w:eastAsia="仿宋"/>
          <w:color w:val="404040"/>
          <w:sz w:val="26"/>
          <w:szCs w:val="26"/>
        </w:rPr>
        <w:t>年</w:t>
      </w:r>
      <w:r>
        <w:rPr>
          <w:rFonts w:hint="eastAsia" w:ascii="微软雅黑" w:hAnsi="微软雅黑" w:eastAsia="微软雅黑"/>
          <w:color w:val="404040"/>
          <w:sz w:val="26"/>
          <w:szCs w:val="26"/>
        </w:rPr>
        <w:t>12</w:t>
      </w:r>
      <w:r>
        <w:rPr>
          <w:rFonts w:hint="eastAsia" w:ascii="仿宋" w:hAnsi="仿宋" w:eastAsia="仿宋"/>
          <w:color w:val="404040"/>
          <w:sz w:val="26"/>
          <w:szCs w:val="26"/>
        </w:rPr>
        <w:t>月</w:t>
      </w:r>
      <w:r>
        <w:rPr>
          <w:rFonts w:hint="eastAsia" w:ascii="微软雅黑" w:hAnsi="微软雅黑" w:eastAsia="微软雅黑"/>
          <w:color w:val="404040"/>
          <w:sz w:val="26"/>
          <w:szCs w:val="26"/>
        </w:rPr>
        <w:t>29</w:t>
      </w:r>
      <w:r>
        <w:rPr>
          <w:rFonts w:hint="eastAsia" w:ascii="仿宋" w:hAnsi="仿宋" w:eastAsia="仿宋"/>
          <w:color w:val="404040"/>
          <w:sz w:val="26"/>
          <w:szCs w:val="26"/>
        </w:rPr>
        <w:t>日第十三届全国人民代表大会常务委员会第七次会议《关于修改〈中华人民共和国产品质量法〉等五部法律的决定》第二次修正）</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目　　录</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第一章　总　　则</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第二章　预算管理职权</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第三章　预算收支范围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第四章　预算编制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第五章　预算审查和批准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第六章　预算执行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第七章　预算调整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第八章　决　　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第九章　监　　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第十章　法律责任</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第十一章　附　　则</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第一章　总　　则</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第一条</w:t>
      </w:r>
      <w:r>
        <w:rPr>
          <w:rFonts w:hint="eastAsia" w:ascii="仿宋" w:hAnsi="仿宋" w:eastAsia="仿宋"/>
          <w:color w:val="404040"/>
          <w:sz w:val="26"/>
          <w:szCs w:val="26"/>
        </w:rPr>
        <w:t>　为了规范政府收支行为，强化预算约束，加强对预算的管理和监督，建立健全全面规范、公开透明的预算制度，保障经济社会的健康发展，根据宪法，制定本法。</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第二条</w:t>
      </w:r>
      <w:r>
        <w:rPr>
          <w:rFonts w:hint="eastAsia" w:ascii="仿宋" w:hAnsi="仿宋" w:eastAsia="仿宋"/>
          <w:color w:val="404040"/>
          <w:sz w:val="26"/>
          <w:szCs w:val="26"/>
        </w:rPr>
        <w:t>　预算、决算的编制、审查、批准、监督，以及预算的执行和调整，依照本法规定执行。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第三条</w:t>
      </w:r>
      <w:r>
        <w:rPr>
          <w:rFonts w:hint="eastAsia" w:ascii="仿宋" w:hAnsi="仿宋" w:eastAsia="仿宋"/>
          <w:color w:val="404040"/>
          <w:sz w:val="26"/>
          <w:szCs w:val="26"/>
        </w:rPr>
        <w:t>　国家实行一级政府一级预算，设立中央，省、自治区、直辖市，设区的市、自治州，县、自治县、不设区的市、市辖区，乡、民族乡、镇五级预算。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全国预算由中央预算和地方预算组成。地方预算由各省、自治区、直辖市总预算组成。</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地方各级总预算由本级预算和汇总的下一级总预算组成；下一级只有本级预算的，下一级总预算即指下一级的本级预算。没有下一级预算的，总预算即指本级预算。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第四条</w:t>
      </w:r>
      <w:r>
        <w:rPr>
          <w:rFonts w:hint="eastAsia" w:ascii="仿宋" w:hAnsi="仿宋" w:eastAsia="仿宋"/>
          <w:color w:val="404040"/>
          <w:sz w:val="26"/>
          <w:szCs w:val="26"/>
        </w:rPr>
        <w:t>　预算由预算收入和预算支出组成。</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政府的全部收入和支出都应当纳入预算。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第五条</w:t>
      </w:r>
      <w:r>
        <w:rPr>
          <w:rFonts w:hint="eastAsia" w:ascii="仿宋" w:hAnsi="仿宋" w:eastAsia="仿宋"/>
          <w:color w:val="404040"/>
          <w:sz w:val="26"/>
          <w:szCs w:val="26"/>
        </w:rPr>
        <w:t>　预算包括一般公共预算、政府性基金预算、国有资本经营预算、社会保险基金预算。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一般公共预算、政府性基金预算、国有资本经营预算、社会保险基金预算应当保持完整、独立。政府性基金预算、国有资本经营预算、社会保险基金预算应当与一般公共预算相衔接。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第六条</w:t>
      </w:r>
      <w:r>
        <w:rPr>
          <w:rFonts w:hint="eastAsia" w:ascii="仿宋" w:hAnsi="仿宋" w:eastAsia="仿宋"/>
          <w:color w:val="404040"/>
          <w:sz w:val="26"/>
          <w:szCs w:val="26"/>
        </w:rPr>
        <w:t>　一般公共预算是对以税收为主体的财政收入，安排用于保障和改善民生、推动经济社会发展、维护国家安全、维持国家机构正常运转等方面的收支预算。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中央一般公共预算包括中央各部门（含直属单位，下同）的预算和中央对地方的税收返还、转移支付预算。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中央一般公共预算收入包括中央本级收入和地方向中央的上解收入。中央一般公共预算支出包括中央本级支出、中央对地方的税收返还和转移支付。</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第七条</w:t>
      </w:r>
      <w:r>
        <w:rPr>
          <w:rFonts w:hint="eastAsia" w:ascii="仿宋" w:hAnsi="仿宋" w:eastAsia="仿宋"/>
          <w:color w:val="404040"/>
          <w:sz w:val="26"/>
          <w:szCs w:val="26"/>
        </w:rPr>
        <w:t>　地方各级一般公共预算包括本级各部门（含直属单位，下同）的预算和税收返还、转移支付预算。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一般公共预算收入包括地方本级收入、上级政府对本级政府的税收返还和转移支付、下级政府的上解收入。地方各级一般公共预算支出包括地方本级支出、对上级政府的上解支出、对下级政府的税收返还和转移支付。</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第八条</w:t>
      </w:r>
      <w:r>
        <w:rPr>
          <w:rFonts w:hint="eastAsia" w:ascii="仿宋" w:hAnsi="仿宋" w:eastAsia="仿宋"/>
          <w:color w:val="404040"/>
          <w:sz w:val="26"/>
          <w:szCs w:val="26"/>
        </w:rPr>
        <w:t>　各部门预算由本部门及其所属各单位预算组成。</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第九条</w:t>
      </w:r>
      <w:r>
        <w:rPr>
          <w:rFonts w:hint="eastAsia" w:ascii="仿宋" w:hAnsi="仿宋" w:eastAsia="仿宋"/>
          <w:color w:val="404040"/>
          <w:sz w:val="26"/>
          <w:szCs w:val="26"/>
        </w:rPr>
        <w:t>　政府性基金预算是对依照法律、行政法规的规定在一定期限内向特定对象征收、收取或者以其他方式筹集的资金，专项用于特定公共事业发展的收支预算。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政府性基金预算应当根据基金项目收入情况和实际支出需要，按基金项目编制，做到以收定支。</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第十条</w:t>
      </w:r>
      <w:r>
        <w:rPr>
          <w:rFonts w:hint="eastAsia" w:ascii="仿宋" w:hAnsi="仿宋" w:eastAsia="仿宋"/>
          <w:color w:val="404040"/>
          <w:sz w:val="26"/>
          <w:szCs w:val="26"/>
        </w:rPr>
        <w:t>　国有资本经营预算是对国有资本收益作出支出安排的收支预算。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国有资本经营预算应当按照收支平衡的原则编制，不列赤字，并安排资金调入一般公共预算。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第十一条</w:t>
      </w:r>
      <w:r>
        <w:rPr>
          <w:rFonts w:hint="eastAsia" w:ascii="仿宋" w:hAnsi="仿宋" w:eastAsia="仿宋"/>
          <w:color w:val="404040"/>
          <w:sz w:val="26"/>
          <w:szCs w:val="26"/>
        </w:rPr>
        <w:t>　社会保险基金预算是对社会保险缴款、一般公共预算安排和其他方式筹集的资金，专项用于社会保险的收支预算。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社会保险基金预算应当按照统筹层次和社会保险项目分别编制，做到收支平衡。</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第十二条</w:t>
      </w:r>
      <w:r>
        <w:rPr>
          <w:rFonts w:hint="eastAsia" w:ascii="仿宋" w:hAnsi="仿宋" w:eastAsia="仿宋"/>
          <w:color w:val="404040"/>
          <w:sz w:val="26"/>
          <w:szCs w:val="26"/>
        </w:rPr>
        <w:t>　各级预算应当遵循统筹兼顾、勤俭节约、量力而行、讲求绩效和收支平衡的原则。</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各级政府应当建立跨年度预算平衡机制。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第十三条</w:t>
      </w:r>
      <w:r>
        <w:rPr>
          <w:rFonts w:hint="eastAsia" w:ascii="仿宋" w:hAnsi="仿宋" w:eastAsia="仿宋"/>
          <w:color w:val="404040"/>
          <w:sz w:val="26"/>
          <w:szCs w:val="26"/>
        </w:rPr>
        <w:t>　经人民代表大会批准的预算，非经法定程序，不得调整。各级政府、各部门、各单位的支出必须以经批准的预算为依据，未列入预算的不得支出。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第十四条</w:t>
      </w:r>
      <w:r>
        <w:rPr>
          <w:rFonts w:hint="eastAsia" w:ascii="仿宋" w:hAnsi="仿宋" w:eastAsia="仿宋"/>
          <w:color w:val="404040"/>
          <w:sz w:val="26"/>
          <w:szCs w:val="26"/>
        </w:rPr>
        <w:t>　经本级人民代表大会或者本级人民代表大会常务委员会批准的预算、预算调整、决算、预算执行情况的报告及报表，应当在批准后二十日内由本级政府财政部门向社会公开，并对本级政府财政转移支付安排、执行的情况以及举借债务的情况等重要事项作出说明。</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经本级政府财政部门批复的部门预算、决算及报表，应当在批复后二十日内由各部门向社会公开，并对部门预算、决算中机关运行经费的安排、使用情况等重要事项作出说明。</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各级政府、各部门、各单位应当将政府采购的情况及时向社会公开。</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本条前三款规定的公开事项，涉及国家秘密的除外。</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第十五条</w:t>
      </w:r>
      <w:r>
        <w:rPr>
          <w:rFonts w:hint="eastAsia" w:ascii="仿宋" w:hAnsi="仿宋" w:eastAsia="仿宋"/>
          <w:color w:val="404040"/>
          <w:sz w:val="26"/>
          <w:szCs w:val="26"/>
        </w:rPr>
        <w:t>　国家实行中央和地方分税制。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第十六条</w:t>
      </w:r>
      <w:r>
        <w:rPr>
          <w:rFonts w:hint="eastAsia" w:ascii="仿宋" w:hAnsi="仿宋" w:eastAsia="仿宋"/>
          <w:color w:val="404040"/>
          <w:sz w:val="26"/>
          <w:szCs w:val="26"/>
        </w:rPr>
        <w:t>　国家实行财政转移支付制度。财政转移支付应当规范、公平、公开，以推进地区间基本公共服务均等化为主要目标。</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财政转移支付包括中央对地方的转移支付和地方上级政府对下级政府的转移支付，以为均衡地区间基本财力、由下级政府统筹安排使用的一般性转移支付为主体。</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按照法律、行政法规和国务院的规定可以设立专项转移支付，用于办理特定事项。建立健全专项转移支付定期评估和退出机制。市场竞争机制能够有效调节的事项不得设立专项转移支付。</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上级政府在安排专项转移支付时，不得要求下级政府承担配套资金。但是，按照国务院的规定应当由上下级政府共同承担的事项除外。</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第十七条</w:t>
      </w:r>
      <w:r>
        <w:rPr>
          <w:rFonts w:hint="eastAsia" w:ascii="仿宋" w:hAnsi="仿宋" w:eastAsia="仿宋"/>
          <w:color w:val="404040"/>
          <w:sz w:val="26"/>
          <w:szCs w:val="26"/>
        </w:rPr>
        <w:t>　各级预算的编制、执行应当建立健全相互制约、相互协调的机制。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第十八条</w:t>
      </w:r>
      <w:r>
        <w:rPr>
          <w:rFonts w:hint="eastAsia" w:ascii="仿宋" w:hAnsi="仿宋" w:eastAsia="仿宋"/>
          <w:color w:val="404040"/>
          <w:sz w:val="26"/>
          <w:szCs w:val="26"/>
        </w:rPr>
        <w:t>　预算年度自公历一月一日起，至十二月三十一日止。</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第十九条</w:t>
      </w:r>
      <w:r>
        <w:rPr>
          <w:rFonts w:hint="eastAsia" w:ascii="仿宋" w:hAnsi="仿宋" w:eastAsia="仿宋"/>
          <w:color w:val="404040"/>
          <w:sz w:val="26"/>
          <w:szCs w:val="26"/>
        </w:rPr>
        <w:t>　预算收入和预算支出以人民币元为计算单位。</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第二章　预算管理职权</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第二十条</w:t>
      </w:r>
      <w:r>
        <w:rPr>
          <w:rFonts w:hint="eastAsia" w:ascii="仿宋" w:hAnsi="仿宋" w:eastAsia="仿宋"/>
          <w:color w:val="404040"/>
          <w:sz w:val="26"/>
          <w:szCs w:val="26"/>
        </w:rPr>
        <w:t>　全国人民代表大会审查中央和地方预算草案及中央和地方预算执行情况的报告；批准中央预算和中央预算执行情况的报告；改变或者撤销全国人民代表大会常务委员会关于预算、决算的不适当的决议。</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全国人民代表大会常务委员会监督中央和地方预算的执行；审查和批准中央预算的调整方案；审查和批准中央决算；撤销国务院制定的同宪法、法律相抵触的关于预算、决算的行政法规、决定和命令；撤销省、自治区、直辖市人民代表大会及其常务委员会制定的同宪法、法律和行政法规相抵触的关于预算、决算的地方性法规和决议。</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第二十一条</w:t>
      </w:r>
      <w:r>
        <w:rPr>
          <w:rFonts w:hint="eastAsia" w:ascii="仿宋" w:hAnsi="仿宋" w:eastAsia="仿宋"/>
          <w:color w:val="404040"/>
          <w:sz w:val="26"/>
          <w:szCs w:val="26"/>
        </w:rPr>
        <w:t>　县级以上地方各级人民代表大会审查本级总预算草案及本级总预算执行情况的报告；批准本级预算和本级预算执行情况的报告；改变或者撤销本级人民代表大会常务委员会关于预算、决算的不适当的决议；撤销本级政府关于预算、决算的不适当的决定和命令。</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地方各级人民代表大会常务委员会监督本级总预算的执行；审查和批准本级预算的调整方案；审查和批准本级决算；撤销本级政府和下一级人民代表大会及其常务委员会关于预算、决算的不适当的决定、命令和决议。</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乡、民族乡、镇的人民代表大会审查和批准本级预算和本级预算执行情况的报告；监督本级预算的执行；审查和批准本级预算的调整方案；审查和批准本级决算；撤销本级政府关于预算、决算的不适当的决定和命令。</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第二十二条　</w:t>
      </w:r>
      <w:r>
        <w:rPr>
          <w:rFonts w:hint="eastAsia" w:ascii="仿宋" w:hAnsi="仿宋" w:eastAsia="仿宋"/>
          <w:color w:val="404040"/>
          <w:sz w:val="26"/>
          <w:szCs w:val="26"/>
        </w:rPr>
        <w:t>全国人民代表大会财政经济委员会对中央预算草案初步方案及上一年预算执行情况、中央预算调整初步方案和中央决算草案进行初步审查，提出初步审查意见。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省、自治区、直辖市人民代表大会有关专门委员会对本级预算草案初步方案及上一年预算执行情况、本级预算调整初步方案和本级决算草案进行初步审查，提出初步审查意见。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设区的市、自治州人民代表大会有关专门委员会对本级预算草案初步方案及上一年预算执行情况、本级预算调整初步方案和本级决算草案进行初步审查，提出初步审查意见，未设立专门委员会的，由本级人民代表大会常务委员会有关工作机构研究提出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自治县、不设区的市、市辖区人民代表大会常务委员会对本级预算草案初步方案及上一年预算执行情况进行初步审查，提出初步审查意见。县、自治县、不设区的市、市辖区人民代表大会常务委员会有关工作机构对本级预算调整初步方案和本级决算草案研究提出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设区的市、自治州以上各级人民代表大会有关专门委员会进行初步审查、常务委员会有关工作机构研究提出意见时，应当邀请本级人民代表大会代表参加。</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对依照本条第一款至第四款规定提出的意见，本级政府财政部门应当将处理情况及时反馈。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依照本条第一款至第四款规定提出的意见以及本级政府财政部门反馈的处理情况报告，应当印发本级人民代表大会代表。</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全国人民代表大会常务委员会和省、自治区、直辖市、设区的市、自治州人民代表大会常务委员会有关工作机构，依照本级人民代表大会常务委员会的决定，协助本级人民代表大会财政经济委员会或者有关专门委员会承担审查预算草案、预算调整方案、决算草案和监督预算执行等方面的具体工作。</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第二十三条</w:t>
      </w:r>
      <w:r>
        <w:rPr>
          <w:rFonts w:hint="eastAsia" w:ascii="仿宋" w:hAnsi="仿宋" w:eastAsia="仿宋"/>
          <w:color w:val="404040"/>
          <w:sz w:val="26"/>
          <w:szCs w:val="26"/>
        </w:rPr>
        <w:t>　国务院编制中央预算、决算草案；向全国人民代表大会作关于中央和地方预算草案的报告；将省、自治区、直辖市政府报送备案的预算汇总后报全国人民代表大会常务委员会备案；组织中央和地方预算的执行；决定中央预算预备费的动用；编制中央预算调整方案；监督中央各部门和地方政府的预算执行；改变或者撤销中央各部门和地方政府关于预算、决算的不适当的决定、命令；向全国人民代表大会、全国人民代表大会常务委员会报告中央和地方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第二十四条</w:t>
      </w:r>
      <w:r>
        <w:rPr>
          <w:rFonts w:hint="eastAsia" w:ascii="仿宋" w:hAnsi="仿宋" w:eastAsia="仿宋"/>
          <w:color w:val="404040"/>
          <w:sz w:val="26"/>
          <w:szCs w:val="26"/>
        </w:rPr>
        <w:t>　县级以上地方各级政府编制本级预算、决算草案；向本级人民代表大会作关于本级总预算草案的报告；将下一级政府报送备案的预算汇总后报本级人民代表大会常务委员会备案；组织本级总预算的执行；决定本级预算预备费的动用；编制本级预算的调整方案；监督本级各部门和下级政府的预算执行；改变或者撤销本级各部门和下级政府关于预算、决算的不适当的决定、命令；向本级人民代表大会、本级人民代表大会常务委员会报告本级总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乡、民族乡、镇政府编制本级预算、决算草案；向本级人民代表大会作关于本级预算草案的报告；组织本级预算的执行；决定本级预算预备费的动用；编制本级预算的调整方案；向本级人民代表大会报告本级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经省、自治区、直辖市政府批准，乡、民族乡、镇本级预算草案、预算调整方案、决算草案，可以由上一级政府代编，并依照本法第二十一条的规定报乡、民族乡、镇的人民代表大会审查和批准。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第二十五条</w:t>
      </w:r>
      <w:r>
        <w:rPr>
          <w:rFonts w:hint="eastAsia" w:ascii="仿宋" w:hAnsi="仿宋" w:eastAsia="仿宋"/>
          <w:color w:val="404040"/>
          <w:sz w:val="26"/>
          <w:szCs w:val="26"/>
        </w:rPr>
        <w:t>　国务院财政部门具体编制中央预算、决算草案；具体组织中央和地方预算的执行；提出中央预算预备费动用方案；具体编制中央预算的调整方案；定期向国务院报告中央和地方预算的执行情况。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政府财政部门具体编制本级预算、决算草案；具体组织本级总预算的执行；提出本级预算预备费动用方案；具体编制本级预算的调整方案；定期向本级政府和上一级政府财政部门报告本级总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第二十六条</w:t>
      </w:r>
      <w:r>
        <w:rPr>
          <w:rFonts w:hint="eastAsia" w:ascii="仿宋" w:hAnsi="仿宋" w:eastAsia="仿宋"/>
          <w:color w:val="404040"/>
          <w:sz w:val="26"/>
          <w:szCs w:val="26"/>
        </w:rPr>
        <w:t>　各部门编制本部门预算、决算草案；组织和监督本部门预算的执行；定期向本级政府财政部门报告预算的执行情况。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各单位编制本单位预算、决算草案；按照国家规定上缴预算收入，安排预算支出，并接受国家有关部门的监督。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第三章　预算收支范围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第二十七条</w:t>
      </w:r>
      <w:r>
        <w:rPr>
          <w:rFonts w:hint="eastAsia" w:ascii="仿宋" w:hAnsi="仿宋" w:eastAsia="仿宋"/>
          <w:color w:val="404040"/>
          <w:sz w:val="26"/>
          <w:szCs w:val="26"/>
        </w:rPr>
        <w:t>　一般公共预算收入包括各项税收收入、行政事业性收费收入、国有资源（资产）有偿使用收入、转移性收入和其他收入。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一般公共预算支出按照其功能分类，包括一般公共服务支出，外交、公共安全、国防支出，农业、环境保护支出，教育、科技、文化、卫生、体育支出，社会保障及就业支出和其他支出。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一般公共预算支出按照其经济性质分类，包括工资福利支出、商品和服务支出、资本性支出和其他支出。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第二十八条</w:t>
      </w:r>
      <w:r>
        <w:rPr>
          <w:rFonts w:hint="eastAsia" w:ascii="仿宋" w:hAnsi="仿宋" w:eastAsia="仿宋"/>
          <w:color w:val="404040"/>
          <w:sz w:val="26"/>
          <w:szCs w:val="26"/>
        </w:rPr>
        <w:t>　政府性基金预算、国有资本经营预算和社会保险基金预算的收支范围，按照法律、行政法规和国务院的规定执行。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第二十九条</w:t>
      </w:r>
      <w:r>
        <w:rPr>
          <w:rFonts w:hint="eastAsia" w:ascii="仿宋" w:hAnsi="仿宋" w:eastAsia="仿宋"/>
          <w:color w:val="404040"/>
          <w:sz w:val="26"/>
          <w:szCs w:val="26"/>
        </w:rPr>
        <w:t>　中央预算与地方预算有关收入和支出项目的划分、地方向中央上解收入、中央对地方税收返还或者转移支付的具体办法，由国务院规定，报全国人民代表大会常务委员会备案。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第三十条</w:t>
      </w:r>
      <w:r>
        <w:rPr>
          <w:rFonts w:hint="eastAsia" w:ascii="仿宋" w:hAnsi="仿宋" w:eastAsia="仿宋"/>
          <w:color w:val="404040"/>
          <w:sz w:val="26"/>
          <w:szCs w:val="26"/>
        </w:rPr>
        <w:t>　上级政府不得在预算之外调用下级政府预算的资金。下级政府不得挤占或者截留属于上级政府预算的资金。</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第四章　预算编制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第三十一条</w:t>
      </w:r>
      <w:r>
        <w:rPr>
          <w:rFonts w:hint="eastAsia" w:ascii="仿宋" w:hAnsi="仿宋" w:eastAsia="仿宋"/>
          <w:color w:val="404040"/>
          <w:sz w:val="26"/>
          <w:szCs w:val="26"/>
        </w:rPr>
        <w:t>　国务院应当及时下达关于编制下一年预算草案的通知。编制预算草案的具体事项由国务院财政部门部署。</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各级政府、各部门、各单位应当按照国务院规定的时间编制预算草案。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第三十二条</w:t>
      </w:r>
      <w:r>
        <w:rPr>
          <w:rFonts w:hint="eastAsia" w:ascii="仿宋" w:hAnsi="仿宋" w:eastAsia="仿宋"/>
          <w:color w:val="404040"/>
          <w:sz w:val="26"/>
          <w:szCs w:val="26"/>
        </w:rPr>
        <w:t>　各级预算应当根据年度经济社会发展目标、国家宏观调控总体要求和跨年度预算平衡的需要，参考上一年预算执行情况、有关支出绩效评价结果和本年度收支预测，按照规定程序征求各方面意见后，进行编制。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各级政府依据法定权限作出决定或者制定行政措施，凡涉及增加或者减少财政收入或者支出的，应当在预算批准前提出并在预算草案中作出相应安排。</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部门、各单位应当按照国务院财政部门制定的政府收支分类科目、预算支出标准和要求，以及绩效目标管理等预算编制规定，根据其依法履行职能和事业发展的需要以及存量资产情况，编制本部门、本单位预算草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前款所称政府收支分类科目，收入分为类、款、项、目；支出按其功能分类分为类、款、项，按其经济性质分类分为类、款。</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第三十三条</w:t>
      </w:r>
      <w:r>
        <w:rPr>
          <w:rFonts w:hint="eastAsia" w:ascii="仿宋" w:hAnsi="仿宋" w:eastAsia="仿宋"/>
          <w:color w:val="404040"/>
          <w:sz w:val="26"/>
          <w:szCs w:val="26"/>
        </w:rPr>
        <w:t>　省、自治区、直辖市政府应当按照国务院规定的时间，将本级总预算草案报国务院审核汇总。</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第三十四条</w:t>
      </w:r>
      <w:r>
        <w:rPr>
          <w:rFonts w:hint="eastAsia" w:ascii="仿宋" w:hAnsi="仿宋" w:eastAsia="仿宋"/>
          <w:color w:val="404040"/>
          <w:sz w:val="26"/>
          <w:szCs w:val="26"/>
        </w:rPr>
        <w:t>　中央一般公共预算中必需的部分资金，可以通过举借国内和国外债务等方式筹措，举借债务应当控制适当的规模，保持合理的结构。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对中央一般公共预算中举借的债务实行余额管理，余额的规模不得超过全国人民代表大会批准的限额。</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国务院财政部门具体负责对中央政府债务的统一管理。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第三十五条</w:t>
      </w:r>
      <w:r>
        <w:rPr>
          <w:rFonts w:hint="eastAsia" w:ascii="仿宋" w:hAnsi="仿宋" w:eastAsia="仿宋"/>
          <w:color w:val="404040"/>
          <w:sz w:val="26"/>
          <w:szCs w:val="26"/>
        </w:rPr>
        <w:t>　地方各级预算按照量入为出、收支平衡的原则编制，除本法另有规定外，不列赤字。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经国务院批准的省、自治区、直辖市的预算中必需的建设投资的部分资金，可以在国务院确定的限额内，通过发行地方政府债券举借债务的方式筹措。举借债务的规模，由国务院报全国人民代表大会或者全国人民代表大会常务委员会批准。省、自治区、直辖市依照国务院下达的限额举借的债务，列入本级预算调整方案，报本级人民代表大会常务委员会批准。举借的债务应当有偿还计划和稳定的偿还资金来源，只能用于公益性资本支出，不得用于经常性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除前款规定外，地方政府及其所属部门不得以任何方式举借债务。</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除法律另有规定外，地方政府及其所属部门不得为任何单位和个人的债务以任何方式提供担保。</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国务院建立地方政府债务风险评估和预警机制、应急处置机制以及责任追究制度。国务院财政部门对地方政府债务实施监督。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第三十六条</w:t>
      </w:r>
      <w:r>
        <w:rPr>
          <w:rFonts w:hint="eastAsia" w:ascii="仿宋" w:hAnsi="仿宋" w:eastAsia="仿宋"/>
          <w:color w:val="404040"/>
          <w:sz w:val="26"/>
          <w:szCs w:val="26"/>
        </w:rPr>
        <w:t>　各级预算收入的编制，应当与经济社会发展水平相适应，与财政政策相衔接。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各级政府、各部门、各单位应当依照本法规定，将所有政府收入全部列入预算，不得隐瞒、少列。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第三十七条</w:t>
      </w:r>
      <w:r>
        <w:rPr>
          <w:rFonts w:hint="eastAsia" w:ascii="仿宋" w:hAnsi="仿宋" w:eastAsia="仿宋"/>
          <w:color w:val="404040"/>
          <w:sz w:val="26"/>
          <w:szCs w:val="26"/>
        </w:rPr>
        <w:t>　各级预算支出应当依照本法规定，按其功能和经济性质分类编制。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各级预算支出的编制，应当贯彻勤俭节约的原则，严格控制各部门、各单位的机关运行经费和楼堂馆所等基本建设支出。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各级一般公共预算支出的编制，应当统筹兼顾，在保证基本公共服务合理需要的前提下，优先安排国家确定的重点支出。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第三十八条</w:t>
      </w:r>
      <w:r>
        <w:rPr>
          <w:rFonts w:hint="eastAsia" w:ascii="仿宋" w:hAnsi="仿宋" w:eastAsia="仿宋"/>
          <w:color w:val="404040"/>
          <w:sz w:val="26"/>
          <w:szCs w:val="26"/>
        </w:rPr>
        <w:t>　一般性转移支付应当按照国务院规定的基本标准和计算方法编制。专项转移支付应当分地区、分项目编制。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县级以上各级政府应当将对下级政府的转移支付预计数提前下达下级政府。</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地方各级政府应当将上级政府提前下达的转移支付预计数编入本级预算。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第三十九条</w:t>
      </w:r>
      <w:r>
        <w:rPr>
          <w:rFonts w:hint="eastAsia" w:ascii="仿宋" w:hAnsi="仿宋" w:eastAsia="仿宋"/>
          <w:color w:val="404040"/>
          <w:sz w:val="26"/>
          <w:szCs w:val="26"/>
        </w:rPr>
        <w:t>　中央预算和有关地方预算中应当安排必要的资金，用于扶助革命老区、民族地区、边疆地区、贫困地区发展经济社会建设事业。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第四十条</w:t>
      </w:r>
      <w:r>
        <w:rPr>
          <w:rFonts w:hint="eastAsia" w:ascii="仿宋" w:hAnsi="仿宋" w:eastAsia="仿宋"/>
          <w:color w:val="404040"/>
          <w:sz w:val="26"/>
          <w:szCs w:val="26"/>
        </w:rPr>
        <w:t>　各级一般公共预算应当按照本级一般公共预算支出额的百分之一至百分之三设置预备费，用于当年预算执行中的自然灾害等突发事件处理增加的支出及其他难以预见的开支。</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第四十一条</w:t>
      </w:r>
      <w:r>
        <w:rPr>
          <w:rFonts w:hint="eastAsia" w:ascii="仿宋" w:hAnsi="仿宋" w:eastAsia="仿宋"/>
          <w:color w:val="404040"/>
          <w:sz w:val="26"/>
          <w:szCs w:val="26"/>
        </w:rPr>
        <w:t>　各级一般公共预算按照国务院的规定可以设置预算周转金，用于本级政府调剂预算年度内季节性收支差额。</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各级一般公共预算按照国务院的规定可以设置预算稳定调节基金，用于弥补以后年度预算资金的不足。</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第四十二条</w:t>
      </w:r>
      <w:r>
        <w:rPr>
          <w:rFonts w:hint="eastAsia" w:ascii="仿宋" w:hAnsi="仿宋" w:eastAsia="仿宋"/>
          <w:color w:val="404040"/>
          <w:sz w:val="26"/>
          <w:szCs w:val="26"/>
        </w:rPr>
        <w:t>　各级政府上一年预算的结转资金，应当在下一年用于结转项目的支出；连续两年未用完的结转资金，应当作为结余资金管理。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各部门、各单位上一年预算的结转、结余资金按照国务院财政部门的规定办理。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第五章　预算审查和批准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第四十三条</w:t>
      </w:r>
      <w:r>
        <w:rPr>
          <w:rFonts w:hint="eastAsia" w:ascii="仿宋" w:hAnsi="仿宋" w:eastAsia="仿宋"/>
          <w:color w:val="404040"/>
          <w:sz w:val="26"/>
          <w:szCs w:val="26"/>
        </w:rPr>
        <w:t>　中央预算由全国人民代表大会审查和批准。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地方各级预算由本级人民代表大会审查和批准。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第四十四条</w:t>
      </w:r>
      <w:r>
        <w:rPr>
          <w:rFonts w:hint="eastAsia" w:ascii="仿宋" w:hAnsi="仿宋" w:eastAsia="仿宋"/>
          <w:color w:val="404040"/>
          <w:sz w:val="26"/>
          <w:szCs w:val="26"/>
        </w:rPr>
        <w:t>　国务院财政部门应当在每年全国人民代表大会会议举行的四十五日前，将中央预算草案的初步方案提交全国人民代表大会财政经济委员会进行初步审查。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省、自治区、直辖市政府财政部门应当在本级人民代表大会会议举行的三十日前，将本级预算草案的初步方案提交本级人民代表大会有关专门委员会进行初步审查。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设区的市、自治州政府财政部门应当在本级人民代表大会会议举行的三十日前，将本级预算草案的初步方案提交本级人民代表大会有关专门委员会进行初步审查，或者送交本级人民代表大会常务委员会有关工作机构征求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县、自治县、不设区的市、市辖区政府应当在本级人民代表大会会议举行的三十日前，将本级预算草案的初步方案提交本级人民代表大会常务委员会进行初步审查。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第四十五条</w:t>
      </w:r>
      <w:r>
        <w:rPr>
          <w:rFonts w:hint="eastAsia" w:ascii="仿宋" w:hAnsi="仿宋" w:eastAsia="仿宋"/>
          <w:color w:val="404040"/>
          <w:sz w:val="26"/>
          <w:szCs w:val="26"/>
        </w:rPr>
        <w:t>　县、自治县、不设区的市、市辖区、乡、民族乡、镇的人民代表大会举行会议审查预算草案前，应当采用多种形式，组织本级人民代表大会代表，听取选民和社会各界的意见。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第四十六条</w:t>
      </w:r>
      <w:r>
        <w:rPr>
          <w:rFonts w:hint="eastAsia" w:ascii="仿宋" w:hAnsi="仿宋" w:eastAsia="仿宋"/>
          <w:color w:val="404040"/>
          <w:sz w:val="26"/>
          <w:szCs w:val="26"/>
        </w:rPr>
        <w:t>　报送各级人民代表大会审查和批准的预算草案应当细化。本级一般公共预算支出，按其功能分类应当编列到项；按其经济性质分类，基本支出应当编列到款。本级政府性基金预算、国有资本经营预算、社会保险基金预算支出，按其功能分类应当编列到项。</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第四十七条</w:t>
      </w:r>
      <w:r>
        <w:rPr>
          <w:rFonts w:hint="eastAsia" w:ascii="仿宋" w:hAnsi="仿宋" w:eastAsia="仿宋"/>
          <w:color w:val="404040"/>
          <w:sz w:val="26"/>
          <w:szCs w:val="26"/>
        </w:rPr>
        <w:t>　国务院在全国人民代表大会举行会议时，向大会作关于中央和地方预算草案以及中央和地方预算执行情况的报告。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地方各级政府在本级人民代表大会举行会议时，向大会作关于总预算草案和总预算执行情况的报告。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第四十八条</w:t>
      </w:r>
      <w:r>
        <w:rPr>
          <w:rFonts w:hint="eastAsia" w:ascii="仿宋" w:hAnsi="仿宋" w:eastAsia="仿宋"/>
          <w:color w:val="404040"/>
          <w:sz w:val="26"/>
          <w:szCs w:val="26"/>
        </w:rPr>
        <w:t>　全国人民代表大会和地方各级人民代表大会对预算草案及其报告、预算执行情况的报告重点审查下列内容：</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（一）上一年预算执行情况是否符合本级人民代表大会预算决议的要求；</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（二）预算安排是否符合本法的规定；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（三）预算安排是否贯彻国民经济和社会发展的方针政策，收支政策是否切实可行；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（四）重点支出和重大投资项目的预算安排是否适当；</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（五）预算的编制是否完整，是否符合本法第四十六条的规定；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（六）对下级政府的转移性支出预算是否规范、适当；</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（七）预算安排举借的债务是否合法、合理，是否有偿还计划和稳定的偿还资金来源；</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（八）与预算有关重要事项的说明是否清晰。</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第四十九条</w:t>
      </w:r>
      <w:r>
        <w:rPr>
          <w:rFonts w:hint="eastAsia" w:ascii="微软雅黑" w:hAnsi="微软雅黑" w:eastAsia="微软雅黑"/>
          <w:color w:val="404040"/>
          <w:sz w:val="26"/>
          <w:szCs w:val="26"/>
        </w:rPr>
        <w:t>  </w:t>
      </w:r>
      <w:r>
        <w:rPr>
          <w:rFonts w:hint="eastAsia" w:ascii="仿宋" w:hAnsi="仿宋" w:eastAsia="仿宋"/>
          <w:color w:val="404040"/>
          <w:sz w:val="26"/>
          <w:szCs w:val="26"/>
        </w:rPr>
        <w:t>全国人民代表大会财政经济委员会向全国人民代表大会主席团提出关于中央和地方预算草案及中央和地方预算执行情况的审查结果报告。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设区的市、自治州人民代表大会有关专门委员会，县、自治县、不设区的市、市辖区人民代表大会常务委员会，向本级人民代表大会主席团提出关于总预算草案及上一年总预算执行情况的审查结果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审查结果报告应当包括下列内容：</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（一）对上一年预算执行和落实本级人民代表大会预算决议的情况作出评价；</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（二）对本年度预算草案是否符合本法的规定</w:t>
      </w:r>
      <w:r>
        <w:rPr>
          <w:rFonts w:hint="eastAsia" w:ascii="微软雅黑" w:hAnsi="微软雅黑" w:eastAsia="微软雅黑"/>
          <w:color w:val="404040"/>
          <w:sz w:val="26"/>
          <w:szCs w:val="26"/>
        </w:rPr>
        <w:t>,</w:t>
      </w:r>
      <w:r>
        <w:rPr>
          <w:rFonts w:hint="eastAsia" w:ascii="仿宋" w:hAnsi="仿宋" w:eastAsia="仿宋"/>
          <w:color w:val="404040"/>
          <w:sz w:val="26"/>
          <w:szCs w:val="26"/>
        </w:rPr>
        <w:t>是否可行作出评价；</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（三）对本级人民代表大会批准预算草案和预算报告提出建议；</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（四）对执行年度预算、改进预算管理、提高预算绩效、加强预算监督等提出意见和建议。</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第五十条</w:t>
      </w:r>
      <w:r>
        <w:rPr>
          <w:rFonts w:hint="eastAsia" w:ascii="仿宋" w:hAnsi="仿宋" w:eastAsia="仿宋"/>
          <w:color w:val="404040"/>
          <w:sz w:val="26"/>
          <w:szCs w:val="26"/>
        </w:rPr>
        <w:t>　乡、民族乡、镇政府应当及时将经本级人民代表大会批准的本级预算报上一级政府备案。县级以上地方各级政府应当及时将经本级人民代表大会批准的本级预算及下一级政府报送备案的预算汇总，报上一级政府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地方各级政府将下一级政府依照前款规定报送备案的预算汇总后，报本级人民代表大会常务委员会备案。国务院将省、自治区、直辖市政府依照前款规定报送备案的预算汇总后，报全国人民代表大会常务委员会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第五十一条</w:t>
      </w:r>
      <w:r>
        <w:rPr>
          <w:rFonts w:hint="eastAsia" w:ascii="仿宋" w:hAnsi="仿宋" w:eastAsia="仿宋"/>
          <w:color w:val="404040"/>
          <w:sz w:val="26"/>
          <w:szCs w:val="26"/>
        </w:rPr>
        <w:t>　国务院和县级以上地方各级政府对下一级政府依照本法第五十条规定报送备案的预算，认为有同法律、行政法规相抵触或者有其他不适当之处，需要撤销批准预算的决议的，应当提请本级人民代表大会常务委员会审议决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第五十二条</w:t>
      </w:r>
      <w:r>
        <w:rPr>
          <w:rFonts w:hint="eastAsia" w:ascii="仿宋" w:hAnsi="仿宋" w:eastAsia="仿宋"/>
          <w:color w:val="404040"/>
          <w:sz w:val="26"/>
          <w:szCs w:val="26"/>
        </w:rPr>
        <w:t>　各级预算经本级人民代表大会批准后，本级政府财政部门应当在二十日内向本级各部门批复预算。各部门应当在接到本级政府财政部门批复的本部门预算后十五日内向所属各单位批复预算。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中央对地方的一般性转移支付应当在全国人民代表大会批准预算后三十日内正式下达。中央对地方的专项转移支付应当在全国人民代表大会批准预算后九十日内正式下达。</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省、自治区、直辖市政府接到中央一般性转移支付和专项转移支付后，应当在三十日内正式下达到本行政区域县级以上各级政府。</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县级以上地方各级预算安排对下级政府的一般性转移支付和专项转移支付，应当分别在本级人民代表大会批准预算后的三十日和六十日内正式下达。</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对自然灾害等突发事件处理的转移支付，应当及时下达预算；对据实结算等特殊项目的转移支付，可以分期下达预算，或者先预付后结算。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县级以上各级政府财政部门应当将批复本级各部门的预算和批复下级政府的转移支付预算，抄送本级人民代表大会财政经济委员会、有关专门委员会和常务委员会有关工作机构。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第六章　预算执行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第五十三条</w:t>
      </w:r>
      <w:r>
        <w:rPr>
          <w:rFonts w:hint="eastAsia" w:ascii="仿宋" w:hAnsi="仿宋" w:eastAsia="仿宋"/>
          <w:color w:val="404040"/>
          <w:sz w:val="26"/>
          <w:szCs w:val="26"/>
        </w:rPr>
        <w:t>　各级预算由本级政府组织执行，具体工作由本级政府财政部门负责。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各部门、各单位是本部门、本单位的预算执行主体，负责本部门、本单位的预算执行，并对执行结果负责。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第五十四条</w:t>
      </w:r>
      <w:r>
        <w:rPr>
          <w:rFonts w:hint="eastAsia" w:ascii="仿宋" w:hAnsi="仿宋" w:eastAsia="仿宋"/>
          <w:color w:val="404040"/>
          <w:sz w:val="26"/>
          <w:szCs w:val="26"/>
        </w:rPr>
        <w:t>　预算年度开始后，各级预算草案在本级人民代表大会批准前，可以安排下列支出：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（一）上一年度结转的支出；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（二）参照上一年同期的预算支出数额安排必须支付的本年度部门基本支出、项目支出，以及对下级政府的转移性支出；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（三）法律规定必须履行支付义务的支出，以及用于自然灾害等突发事件处理的支出。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根据前款规定安排支出的情况，应当在预算草案的报告中作出说明。</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预算经本级人民代表大会批准后，按照批准的预算执行。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第五十五条</w:t>
      </w:r>
      <w:r>
        <w:rPr>
          <w:rFonts w:hint="eastAsia" w:ascii="仿宋" w:hAnsi="仿宋" w:eastAsia="仿宋"/>
          <w:color w:val="404040"/>
          <w:sz w:val="26"/>
          <w:szCs w:val="26"/>
        </w:rPr>
        <w:t>　预算收入征收部门和单位，必须依照法律、行政法规的规定，及时、足额征收应征的预算收入。不得违反法律、行政法规规定，多征、提前征收或者减征、免征、缓征应征的预算收入，不得截留、占用或者挪用预算收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各级政府不得向预算收入征收部门和单位下达收入指标。</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第五十六条</w:t>
      </w:r>
      <w:r>
        <w:rPr>
          <w:rFonts w:hint="eastAsia" w:ascii="仿宋" w:hAnsi="仿宋" w:eastAsia="仿宋"/>
          <w:color w:val="404040"/>
          <w:sz w:val="26"/>
          <w:szCs w:val="26"/>
        </w:rPr>
        <w:t>　政府的全部收入应当上缴国家金库（以下简称国库），任何部门、单位和个人不得截留、占用、挪用或者拖欠。</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对于法律有明确规定或者经国务院批准的特定专用资金，可以依照国务院的规定设立财政专户。</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第五十七条</w:t>
      </w:r>
      <w:r>
        <w:rPr>
          <w:rFonts w:hint="eastAsia" w:ascii="仿宋" w:hAnsi="仿宋" w:eastAsia="仿宋"/>
          <w:color w:val="404040"/>
          <w:sz w:val="26"/>
          <w:szCs w:val="26"/>
        </w:rPr>
        <w:t>　各级政府财政部门必须依照法律、行政法规和国务院财政部门的规定，及时、足额地拨付预算支出资金，加强对预算支出的管理和监督。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各级政府、各部门、各单位的支出必须按照预算执行，不得虚假列支。</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各级政府、各部门、各单位应当对预算支出情况开展绩效评价。</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第五十八条</w:t>
      </w:r>
      <w:r>
        <w:rPr>
          <w:rFonts w:hint="eastAsia" w:ascii="仿宋" w:hAnsi="仿宋" w:eastAsia="仿宋"/>
          <w:color w:val="404040"/>
          <w:sz w:val="26"/>
          <w:szCs w:val="26"/>
        </w:rPr>
        <w:t>　各级预算的收入和支出实行收付实现制。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特定事项按照国务院的规定实行权责发生制的有关情况</w:t>
      </w:r>
      <w:r>
        <w:rPr>
          <w:rFonts w:hint="eastAsia" w:ascii="微软雅黑" w:hAnsi="微软雅黑" w:eastAsia="微软雅黑"/>
          <w:color w:val="404040"/>
          <w:sz w:val="26"/>
          <w:szCs w:val="26"/>
        </w:rPr>
        <w:t>,</w:t>
      </w:r>
      <w:r>
        <w:rPr>
          <w:rFonts w:hint="eastAsia" w:ascii="仿宋" w:hAnsi="仿宋" w:eastAsia="仿宋"/>
          <w:color w:val="404040"/>
          <w:sz w:val="26"/>
          <w:szCs w:val="26"/>
        </w:rPr>
        <w:t>应当向本级人民代表大会常务委员会报告。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第五十九条</w:t>
      </w:r>
      <w:r>
        <w:rPr>
          <w:rFonts w:hint="eastAsia" w:ascii="仿宋" w:hAnsi="仿宋" w:eastAsia="仿宋"/>
          <w:color w:val="404040"/>
          <w:sz w:val="26"/>
          <w:szCs w:val="26"/>
        </w:rPr>
        <w:t>　县级以上各级预算必须设立国库；具备条件的乡、民族乡、镇也应当设立国库。</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中央国库业务由中国人民银行经理，地方国库业务依照国务院的有关规定办理。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各级国库应当按照国家有关规定，及时准确地办理预算收入的收纳、划分、留解、退付和预算支出的拨付。</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各级国库库款的支配权属于本级政府财政部门。除法律、行政法规另有规定外，未经本级政府财政部门同意，任何部门、单位和个人都无权冻结、动用国库库款或者以其他方式支配已入国库的库款。</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各级政府应当加强对本级国库的管理和监督，按照国务院的规定完善国库现金管理，合理调节国库资金余额。</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第六十条</w:t>
      </w:r>
      <w:r>
        <w:rPr>
          <w:rFonts w:hint="eastAsia" w:ascii="仿宋" w:hAnsi="仿宋" w:eastAsia="仿宋"/>
          <w:color w:val="404040"/>
          <w:sz w:val="26"/>
          <w:szCs w:val="26"/>
        </w:rPr>
        <w:t>　已经缴入国库的资金，依照法律、行政法规的规定或者国务院的决定需要退付的，各级政府财政部门或者其授权的机构应当及时办理退付。按照规定应当由财政支出安排的事项，不得用退库处理。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第六十一条</w:t>
      </w:r>
      <w:r>
        <w:rPr>
          <w:rFonts w:hint="eastAsia" w:ascii="仿宋" w:hAnsi="仿宋" w:eastAsia="仿宋"/>
          <w:color w:val="404040"/>
          <w:sz w:val="26"/>
          <w:szCs w:val="26"/>
        </w:rPr>
        <w:t>　国家实行国库集中收缴和集中支付制度，对政府全部收入和支出实行国库集中收付管理。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第六十二条</w:t>
      </w:r>
      <w:r>
        <w:rPr>
          <w:rFonts w:hint="eastAsia" w:ascii="仿宋" w:hAnsi="仿宋" w:eastAsia="仿宋"/>
          <w:color w:val="404040"/>
          <w:sz w:val="26"/>
          <w:szCs w:val="26"/>
        </w:rPr>
        <w:t>　各级政府应当加强对预算执行的领导，支持政府财政、税务、海关等预算收入的征收部门依法组织预算收入，支持政府财政部门严格管理预算支出。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财政、税务、海关等部门在预算执行中，应当加强对预算执行的分析；发现问题时应当及时建议本级政府采取措施予以解决。</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第六十三条</w:t>
      </w:r>
      <w:r>
        <w:rPr>
          <w:rFonts w:hint="eastAsia" w:ascii="仿宋" w:hAnsi="仿宋" w:eastAsia="仿宋"/>
          <w:color w:val="404040"/>
          <w:sz w:val="26"/>
          <w:szCs w:val="26"/>
        </w:rPr>
        <w:t>　各部门、各单位应当加强对预算收入和支出的管理，不得截留或者动用应当上缴的预算收入，不得擅自改变预算支出的用途。</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第六十四条</w:t>
      </w:r>
      <w:r>
        <w:rPr>
          <w:rFonts w:hint="eastAsia" w:ascii="仿宋" w:hAnsi="仿宋" w:eastAsia="仿宋"/>
          <w:color w:val="404040"/>
          <w:sz w:val="26"/>
          <w:szCs w:val="26"/>
        </w:rPr>
        <w:t>　各级预算预备费的动用方案，由本级政府财政部门提出，报本级政府决定。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第六十五条</w:t>
      </w:r>
      <w:r>
        <w:rPr>
          <w:rFonts w:hint="eastAsia" w:ascii="仿宋" w:hAnsi="仿宋" w:eastAsia="仿宋"/>
          <w:color w:val="404040"/>
          <w:sz w:val="26"/>
          <w:szCs w:val="26"/>
        </w:rPr>
        <w:t>　各级预算周转金由本级政府财政部门管理，不得挪作他用。</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第六十六条</w:t>
      </w:r>
      <w:r>
        <w:rPr>
          <w:rFonts w:hint="eastAsia" w:ascii="仿宋" w:hAnsi="仿宋" w:eastAsia="仿宋"/>
          <w:color w:val="404040"/>
          <w:sz w:val="26"/>
          <w:szCs w:val="26"/>
        </w:rPr>
        <w:t>　各级一般公共预算年度执行中有超收收入的，只能用于冲减赤字或者补充预算稳定调节基金。</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各级一般公共预算的结余资金，应当补充预算稳定调节基金。</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一般公共预算年度执行中出现短收，通过调入预算稳定调节基金、减少支出等方式仍不能实现收支平衡的，省、自治区、直辖市政府报本级人民代表大会或者其常务委员会批准，可以增列赤字，报国务院财政部门备案，并应当在下一年度预算中予以弥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第七章　预算调整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第六十七条</w:t>
      </w:r>
      <w:r>
        <w:rPr>
          <w:rFonts w:hint="eastAsia" w:ascii="仿宋" w:hAnsi="仿宋" w:eastAsia="仿宋"/>
          <w:color w:val="404040"/>
          <w:sz w:val="26"/>
          <w:szCs w:val="26"/>
        </w:rPr>
        <w:t>　经全国人民代表大会批准的中央预算和经地方各级人民代表大会批准的地方各级预算，在执行中出现下列情况之一的，应当进行预算调整：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（一）需要增加或者减少预算总支出的；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（二）需要调入预算稳定调节基金的；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（三）需要调减预算安排的重点支出数额的；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（四）需要增加举借债务数额的。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第六十八条</w:t>
      </w:r>
      <w:r>
        <w:rPr>
          <w:rFonts w:hint="eastAsia" w:ascii="仿宋" w:hAnsi="仿宋" w:eastAsia="仿宋"/>
          <w:color w:val="404040"/>
          <w:sz w:val="26"/>
          <w:szCs w:val="26"/>
        </w:rPr>
        <w:t>　在预算执行中，各级政府一般不制定新的增加财政收入或者支出的政策和措施，也不制定减少财政收入的政策和措施；必须作出并需要进行预算调整的，应当在预算调整方案中作出安排。</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第六十九条</w:t>
      </w:r>
      <w:r>
        <w:rPr>
          <w:rFonts w:hint="eastAsia" w:ascii="仿宋" w:hAnsi="仿宋" w:eastAsia="仿宋"/>
          <w:color w:val="404040"/>
          <w:sz w:val="26"/>
          <w:szCs w:val="26"/>
        </w:rPr>
        <w:t>　在预算执行中，各级政府对于必须进行的预算调整，应当编制预算调整方案。预算调整方案应当说明预算调整的理由、项目和数额。</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在预算执行中，由于发生自然灾害等突发事件，必须及时增加预算支出的，应当先动支预备费；预备费不足支出的，各级政府可以先安排支出，属于预算调整的，列入预算调整方案。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国务院财政部门应当在全国人民代表大会常务委员会举行会议审查和批准预算调整方案的三十日前，将预算调整初步方案送交全国人民代表大会财政经济委员会进行初步审查。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省、自治区、直辖市政府财政部门应当在本级人民代表大会常务委员会举行会议审查和批准预算调整方案的三十日前，将预算调整初步方案送交本级人民代表大会有关专门委员会进行初步审查。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设区的市、自治州政府财政部门应当在本级人民代表大会常务委员会举行会议审查和批准预算调整方案的三十日前，将预算调整初步方案送交本级人民代表大会有关专门委员会进行初步审查，或者送交本级人民代表大会常务委员会有关工作机构征求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县、自治县、不设区的市、市辖区政府财政部门应当在本级人民代表大会常务委员会举行会议审查和批准预算调整方案的三十日前，将预算调整初步方案送交本级人民代表大会常务委员会有关工作机构征求意见。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中央预算的调整方案应当提请全国人民代表大会常务委员会审查和批准。县级以上地方各级预算的调整方案应当提请本级人民代表大会常务委员会审查和批准；乡、民族乡、镇预算的调整方案应当提请本级人民代表大会审查和批准。未经批准，不得调整预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第七十条</w:t>
      </w:r>
      <w:r>
        <w:rPr>
          <w:rFonts w:hint="eastAsia" w:ascii="仿宋" w:hAnsi="仿宋" w:eastAsia="仿宋"/>
          <w:color w:val="404040"/>
          <w:sz w:val="26"/>
          <w:szCs w:val="26"/>
        </w:rPr>
        <w:t>　经批准的预算调整方案，各级政府应当严格执行。未经本法第六十九条规定的程序，各级政府不得作出预算调整的决定。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对违反前款规定作出的决定，本级人民代表大会、本级人民代表大会常务委员会或者上级政府应当责令其改变或者撤销。</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第七十一条</w:t>
      </w:r>
      <w:r>
        <w:rPr>
          <w:rFonts w:hint="eastAsia" w:ascii="仿宋" w:hAnsi="仿宋" w:eastAsia="仿宋"/>
          <w:color w:val="404040"/>
          <w:sz w:val="26"/>
          <w:szCs w:val="26"/>
        </w:rPr>
        <w:t>　在预算执行中，地方各级政府因上级政府增加不需要本级政府提供配套资金的专项转移支付而引起的预算支出变化，不属于预算调整。</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接受增加专项转移支付的县级以上地方各级政府应当向本级人民代表大会常务委员会报告有关情况；接受增加专项转移支付的乡、民族乡、镇政府应当向本级人民代表大会报告有关情况。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第七十二条</w:t>
      </w:r>
      <w:r>
        <w:rPr>
          <w:rFonts w:hint="eastAsia" w:ascii="仿宋" w:hAnsi="仿宋" w:eastAsia="仿宋"/>
          <w:color w:val="404040"/>
          <w:sz w:val="26"/>
          <w:szCs w:val="26"/>
        </w:rPr>
        <w:t>　各部门、各单位的预算支出应当按照预算科目执行。严格控制不同预算科目、预算级次或者项目间的预算资金的调剂，确需调剂使用的，按照国务院财政部门的规定办理。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第七十三条</w:t>
      </w:r>
      <w:r>
        <w:rPr>
          <w:rFonts w:hint="eastAsia" w:ascii="仿宋" w:hAnsi="仿宋" w:eastAsia="仿宋"/>
          <w:color w:val="404040"/>
          <w:sz w:val="26"/>
          <w:szCs w:val="26"/>
        </w:rPr>
        <w:t>　地方各级预算的调整方案经批准后，由本级政府报上一级政府备案。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第八章　决　　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第七十四条</w:t>
      </w:r>
      <w:r>
        <w:rPr>
          <w:rFonts w:hint="eastAsia" w:ascii="仿宋" w:hAnsi="仿宋" w:eastAsia="仿宋"/>
          <w:color w:val="404040"/>
          <w:sz w:val="26"/>
          <w:szCs w:val="26"/>
        </w:rPr>
        <w:t>　决算草案由各级政府、各部门、各单位，在每一预算年度终了后按照国务院规定的时间编制。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编制决算草案的具体事项，由国务院财政部门部署。</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第七十五条</w:t>
      </w:r>
      <w:r>
        <w:rPr>
          <w:rFonts w:hint="eastAsia" w:ascii="仿宋" w:hAnsi="仿宋" w:eastAsia="仿宋"/>
          <w:color w:val="404040"/>
          <w:sz w:val="26"/>
          <w:szCs w:val="26"/>
        </w:rPr>
        <w:t>　编制决算草案，必须符合法律、行政法规，做到收支真实、数额准确、内容完整、报送及时。</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决算草案应当与预算相对应，按预算数、调整预算数、决算数分别列出。一般公共预算支出应当按其功能分类编列到项，按其经济性质分类编列到款。</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第七十六条</w:t>
      </w:r>
      <w:r>
        <w:rPr>
          <w:rFonts w:hint="eastAsia" w:ascii="仿宋" w:hAnsi="仿宋" w:eastAsia="仿宋"/>
          <w:color w:val="404040"/>
          <w:sz w:val="26"/>
          <w:szCs w:val="26"/>
        </w:rPr>
        <w:t>　各部门对所属各单位的决算草案，应当审核并汇总编制本部门的决算草案，在规定的期限内报本级政府财政部门审核。</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各级政府财政部门对本级各部门决算草案审核后发现有不符合法律、行政法规规定的，有权予以纠正。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第七十七条</w:t>
      </w:r>
      <w:r>
        <w:rPr>
          <w:rFonts w:hint="eastAsia" w:ascii="仿宋" w:hAnsi="仿宋" w:eastAsia="仿宋"/>
          <w:color w:val="404040"/>
          <w:sz w:val="26"/>
          <w:szCs w:val="26"/>
        </w:rPr>
        <w:t>　国务院财政部门编制中央决算草案，经国务院审计部门审计后，报国务院审定，由国务院提请全国人民代表大会常务委员会审查和批准。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县级以上地方各级政府财政部门编制本级决算草案，经本级政府审计部门审计后，报本级政府审定，由本级政府提请本级人民代表大会常务委员会审查和批准。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乡、民族乡、镇政府编制本级决算草案，提请本级人民代表大会审查和批准。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第七十八条</w:t>
      </w:r>
      <w:r>
        <w:rPr>
          <w:rFonts w:hint="eastAsia" w:ascii="仿宋" w:hAnsi="仿宋" w:eastAsia="仿宋"/>
          <w:color w:val="404040"/>
          <w:sz w:val="26"/>
          <w:szCs w:val="26"/>
        </w:rPr>
        <w:t>　国务院财政部门应当在全国人民代表大会常务委员会举行会议审查和批准中央决算草案的三十日前，将上一年度中央决算草案提交全国人民代表大会财政经济委员会进行初步审查。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省、自治区、直辖市政府财政部门应当在本级人民代表大会常务委员会举行会议审查和批准本级决算草案的三十日前，将上一年度本级决算草案提交本级人民代表大会有关专门委员会进行初步审查。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设区的市、自治州政府财政部门应当在本级人民代表大会常务委员会举行会议审查和批准本级决算草案的三十日前，将上一年度本级决算草案提交本级人民代表大会有关专门委员会进行初步审查，或者送交本级人民代表大会常务委员会有关工作机构征求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自治县、不设区的市、市辖区政府财政部门应当在本级人民代表大会常务委员会举行会议审查和批准本级决算草案的三十日前，将上一年度本级决算草案送交本级人民代表大会常务委员会有关工作机构征求意见。</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全国人民代表大会财政经济委员会和省、自治区、直辖市、设区的市、自治州人民代表大会有关专门委员会，向本级人民代表大会常务委员会提出关于本级决算草案的审查结果报告。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第七十九条</w:t>
      </w:r>
      <w:r>
        <w:rPr>
          <w:rFonts w:hint="eastAsia" w:ascii="仿宋" w:hAnsi="仿宋" w:eastAsia="仿宋"/>
          <w:color w:val="404040"/>
          <w:sz w:val="26"/>
          <w:szCs w:val="26"/>
        </w:rPr>
        <w:t>　县级以上各级人民代表大会常务委员会和乡、民族乡、镇人民代表大会对本级决算草案，重点审查下列内容：</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（一）预算收入情况；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（二）支出政策实施情况和重点支出、重大投资项目资金的使用及绩效情况；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（三）结转资金的使用情况；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（四）资金结余情况；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（五）本级预算调整及执行情况；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（六）财政转移支付安排执行情况；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（七）经批准举借债务的规模、结构、使用、偿还等情况；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（八）本级预算周转金规模和使用情况；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（九）本级预备费使用情况；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（十）超收收入安排情况，预算稳定调节基金的规模和使用情况；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（十一）本级人民代表大会批准的预算决议落实情况；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（十二）其他与决算有关的重要情况。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县级以上各级人民代表大会常务委员会应当结合本级政府提出的上一年度预算执行和其他财政收支的审计工作报告，对本级决算草案进行审查。</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第八十条</w:t>
      </w:r>
      <w:r>
        <w:rPr>
          <w:rFonts w:hint="eastAsia" w:ascii="仿宋" w:hAnsi="仿宋" w:eastAsia="仿宋"/>
          <w:color w:val="404040"/>
          <w:sz w:val="26"/>
          <w:szCs w:val="26"/>
        </w:rPr>
        <w:t>　各级决算经批准后，财政部门应当在二十日内向本级各部门批复决算。各部门应当在接到本级政府财政部门批复的本部门决算后十五日内向所属单位批复决算。</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第八十一条</w:t>
      </w:r>
      <w:r>
        <w:rPr>
          <w:rFonts w:hint="eastAsia" w:ascii="仿宋" w:hAnsi="仿宋" w:eastAsia="仿宋"/>
          <w:color w:val="404040"/>
          <w:sz w:val="26"/>
          <w:szCs w:val="26"/>
        </w:rPr>
        <w:t>　地方各级政府应当将经批准的决算及下一级政府上报备案的决算汇总，报上一级政府备案。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县级以上各级政府应当将下一级政府报送备案的决算汇总后，报本级人民代表大会常务委员会备案。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第八十二条</w:t>
      </w:r>
      <w:r>
        <w:rPr>
          <w:rFonts w:hint="eastAsia" w:ascii="仿宋" w:hAnsi="仿宋" w:eastAsia="仿宋"/>
          <w:color w:val="404040"/>
          <w:sz w:val="26"/>
          <w:szCs w:val="26"/>
        </w:rPr>
        <w:t>　国务院和县级以上地方各级政府对下一级政府依照本法第八十一条规定报送备案的决算，认为有同法律、行政法规相抵触或者有其他不适当之处，需要撤销批准该项决算的决议的，应当提请本级人民代表大会常务委员会审议决定；经审议决定撤销的，该下级人民代表大会常务委员会应当责成本级政府依照本法规定重新编制决算草案，提请本级人民代表大会常务委员会审查和批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第九章　监　　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第八十三条</w:t>
      </w:r>
      <w:r>
        <w:rPr>
          <w:rFonts w:hint="eastAsia" w:ascii="仿宋" w:hAnsi="仿宋" w:eastAsia="仿宋"/>
          <w:color w:val="404040"/>
          <w:sz w:val="26"/>
          <w:szCs w:val="26"/>
        </w:rPr>
        <w:t>　全国人民代表大会及其常务委员会对中央和地方预算、决算进行监督。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县级以上地方各级人民代表大会及其常务委员会对本级和下级预算、决算进行监督。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乡、民族乡、镇人民代表大会对本级预算、决算进行监督。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第八十四条</w:t>
      </w:r>
      <w:r>
        <w:rPr>
          <w:rFonts w:hint="eastAsia" w:ascii="仿宋" w:hAnsi="仿宋" w:eastAsia="仿宋"/>
          <w:color w:val="404040"/>
          <w:sz w:val="26"/>
          <w:szCs w:val="26"/>
        </w:rPr>
        <w:t>　各级人民代表大会和县级以上各级人民代表大会常务委员会有权就预算、决算中的重大事项或者特定问题组织调查，有关的政府、部门、单位和个人应当如实反映情况和提供必要的材料。</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第八十五条</w:t>
      </w:r>
      <w:r>
        <w:rPr>
          <w:rFonts w:hint="eastAsia" w:ascii="仿宋" w:hAnsi="仿宋" w:eastAsia="仿宋"/>
          <w:color w:val="404040"/>
          <w:sz w:val="26"/>
          <w:szCs w:val="26"/>
        </w:rPr>
        <w:t>　各级人民代表大会和县级以上各级人民代表大会常务委员会举行会议时，人民代表大会代表或者常务委员会组成人员，依照法律规定程序就预算、决算中的有关问题提出询问或者质询，受询问或者受质询的有关的政府或者财政部门必须及时给予答复。</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第八十六条</w:t>
      </w:r>
      <w:r>
        <w:rPr>
          <w:rFonts w:hint="eastAsia" w:ascii="仿宋" w:hAnsi="仿宋" w:eastAsia="仿宋"/>
          <w:color w:val="404040"/>
          <w:sz w:val="26"/>
          <w:szCs w:val="26"/>
        </w:rPr>
        <w:t>　国务院和县级以上地方各级政府应当在每年六月至九月期间向本级人民代表大会常务委员会报告预算执行情况。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第八十七条</w:t>
      </w:r>
      <w:r>
        <w:rPr>
          <w:rFonts w:hint="eastAsia" w:ascii="仿宋" w:hAnsi="仿宋" w:eastAsia="仿宋"/>
          <w:color w:val="404040"/>
          <w:sz w:val="26"/>
          <w:szCs w:val="26"/>
        </w:rPr>
        <w:t>　各级政府监督下级政府的预算执行；下级政府应当定期向上一级政府报告预算执行情况。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第八十八条</w:t>
      </w:r>
      <w:r>
        <w:rPr>
          <w:rFonts w:hint="eastAsia" w:ascii="仿宋" w:hAnsi="仿宋" w:eastAsia="仿宋"/>
          <w:color w:val="404040"/>
          <w:sz w:val="26"/>
          <w:szCs w:val="26"/>
        </w:rPr>
        <w:t>　各级政府财政部门负责监督本级各部门及其所属各单位预算管理有关工作，并向本级政府和上一级政府财政部门报告预算执行情况。</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第八十九条</w:t>
      </w:r>
      <w:r>
        <w:rPr>
          <w:rFonts w:hint="eastAsia" w:ascii="仿宋" w:hAnsi="仿宋" w:eastAsia="仿宋"/>
          <w:color w:val="404040"/>
          <w:sz w:val="26"/>
          <w:szCs w:val="26"/>
        </w:rPr>
        <w:t>　县级以上政府审计部门依法对预算执行、决算实行审计监督。</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对预算执行和其他财政收支的审计工作报告应当向社会公开。</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第九十条</w:t>
      </w:r>
      <w:r>
        <w:rPr>
          <w:rFonts w:hint="eastAsia" w:ascii="仿宋" w:hAnsi="仿宋" w:eastAsia="仿宋"/>
          <w:color w:val="404040"/>
          <w:sz w:val="26"/>
          <w:szCs w:val="26"/>
        </w:rPr>
        <w:t>　政府各部门负责监督检查所属各单位的预算执行，及时向本级政府财政部门反映本部门预算执行情况，依法纠正违反预算的行为。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第九十一条</w:t>
      </w:r>
      <w:r>
        <w:rPr>
          <w:rFonts w:hint="eastAsia" w:ascii="仿宋" w:hAnsi="仿宋" w:eastAsia="仿宋"/>
          <w:color w:val="404040"/>
          <w:sz w:val="26"/>
          <w:szCs w:val="26"/>
        </w:rPr>
        <w:t>　公民、法人或者其他组织发现有违反本法的行为，可以依法向有关国家机关进行检举、控告。</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接受检举、控告的国家机关应当依法进行处理，并为检举人、控告人保密。任何单位或者个人不得压制和打击报复检举人、控告人。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第十章　法律责任</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第九十二条</w:t>
      </w:r>
      <w:r>
        <w:rPr>
          <w:rFonts w:hint="eastAsia" w:ascii="仿宋" w:hAnsi="仿宋" w:eastAsia="仿宋"/>
          <w:color w:val="404040"/>
          <w:sz w:val="26"/>
          <w:szCs w:val="26"/>
        </w:rPr>
        <w:t>　各级政府及有关部门有下列行为之一的，责令改正，对负有直接责任的主管人员和其他直接责任人员追究行政责任：</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（一）未依照本法规定，编制、报送预算草案、预算调整方案、决算草案和部门预算、决算以及批复预算、决算的；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（二）违反本法规定，进行预算调整的；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（三）未依照本法规定对有关预算事项进行公开和说明的</w:t>
      </w:r>
      <w:r>
        <w:rPr>
          <w:rFonts w:hint="eastAsia" w:ascii="微软雅黑" w:hAnsi="微软雅黑" w:eastAsia="微软雅黑"/>
          <w:color w:val="404040"/>
          <w:sz w:val="26"/>
          <w:szCs w:val="26"/>
        </w:rPr>
        <w:t>;</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（四）违反规定设立政府性基金项目和其他财政收入项目的；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（五）违反法律、法规规定使用预算预备费、预算周转金、预算稳定调节基金、超收收入的；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（六）违反本法规定开设财政专户的。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第九十三条</w:t>
      </w:r>
      <w:r>
        <w:rPr>
          <w:rFonts w:hint="eastAsia" w:ascii="仿宋" w:hAnsi="仿宋" w:eastAsia="仿宋"/>
          <w:color w:val="404040"/>
          <w:sz w:val="26"/>
          <w:szCs w:val="26"/>
        </w:rPr>
        <w:t>　各级政府及有关部门、单位有下列行为之一的，责令改正，对负有直接责任的主管人员和其他直接责任人员依法给予降级、撤职、开除的处分：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（一）未将所有政府收入和支出列入预算或者虚列收入和支出的；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（二）违反法律、行政法规的规定，多征、提前征收或者减征、免征、缓征应征预算收入的；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（三）截留、占用、挪用或者拖欠应当上缴国库的预算收入的；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（四）违反本法规定，改变预算支出用途的；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（五）擅自改变上级政府专项转移支付资金用途的；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（六）违反本法规定拨付预算支出资金，办理预算收入收纳、划分、留解、退付，或者违反本法规定冻结、动用国库库款或者以其他方式支配已入国库库款的。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第九十四条</w:t>
      </w:r>
      <w:r>
        <w:rPr>
          <w:rFonts w:hint="eastAsia" w:ascii="仿宋" w:hAnsi="仿宋" w:eastAsia="仿宋"/>
          <w:color w:val="404040"/>
          <w:sz w:val="26"/>
          <w:szCs w:val="26"/>
        </w:rPr>
        <w:t>　各级政府、各部门、各单位违反本法规定举借债务或者为他人债务提供担保，或者挪用重点支出资金，或者在预算之外及超预算标准建设楼堂馆所的，责令改正，对负有直接责任的主管人员和其他直接责任人员给予撤职、开除的处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第九十五条</w:t>
      </w:r>
      <w:r>
        <w:rPr>
          <w:rFonts w:hint="eastAsia" w:ascii="仿宋" w:hAnsi="仿宋" w:eastAsia="仿宋"/>
          <w:color w:val="404040"/>
          <w:sz w:val="26"/>
          <w:szCs w:val="26"/>
        </w:rPr>
        <w:t>　各级政府有关部门、单位及其工作人员有下列行为之一的，责令改正，追回骗取、使用的资金，有违法所得的没收违法所得，对单位给予警告或者通报批评；对负有直接责任的主管人员和其他直接责任人员依法给予处分：</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（一）违反法律、法规的规定，改变预算收入上缴方式的；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（二）以虚报、冒领等手段骗取预算资金的；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（三）违反规定扩大开支范围、提高开支标准的；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（四）其他违反财政管理规定的行为。</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第九十六条</w:t>
      </w:r>
      <w:r>
        <w:rPr>
          <w:rFonts w:hint="eastAsia" w:ascii="仿宋" w:hAnsi="仿宋" w:eastAsia="仿宋"/>
          <w:color w:val="404040"/>
          <w:sz w:val="26"/>
          <w:szCs w:val="26"/>
        </w:rPr>
        <w:t>　本法第九十二条、第九十三条、第九十四条、第九十五条所列违法行为，其他法律对其处理、处罚另有规定的，依照其规定。</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违反本法规定，构成犯罪的，依法追究刑事责任。</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jc w:val="center"/>
        <w:rPr>
          <w:rFonts w:ascii="Calibri" w:hAnsi="Calibri"/>
          <w:color w:val="404040"/>
          <w:sz w:val="26"/>
          <w:szCs w:val="26"/>
        </w:rPr>
      </w:pPr>
      <w:r>
        <w:rPr>
          <w:rFonts w:hint="eastAsia" w:ascii="黑体" w:hAnsi="黑体" w:eastAsia="黑体"/>
          <w:color w:val="404040"/>
          <w:sz w:val="26"/>
          <w:szCs w:val="26"/>
        </w:rPr>
        <w:t>第十一章　附　　则</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仿宋" w:hAnsi="仿宋" w:eastAsia="仿宋"/>
          <w:color w:val="404040"/>
          <w:sz w:val="26"/>
          <w:szCs w:val="26"/>
        </w:rPr>
        <w:t> </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第九十七条</w:t>
      </w:r>
      <w:r>
        <w:rPr>
          <w:rFonts w:hint="eastAsia" w:ascii="仿宋" w:hAnsi="仿宋" w:eastAsia="仿宋"/>
          <w:color w:val="404040"/>
          <w:sz w:val="26"/>
          <w:szCs w:val="26"/>
        </w:rPr>
        <w:t>　各级政府财政部门应当按年度编制以权责发生制为基础的政府综合财务报告，报告政府整体财务状况、运行情况和财政中长期可持续性，报本级人民代表大会常务委员会备案。</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第九十八条</w:t>
      </w:r>
      <w:r>
        <w:rPr>
          <w:rFonts w:hint="eastAsia" w:ascii="仿宋" w:hAnsi="仿宋" w:eastAsia="仿宋"/>
          <w:color w:val="404040"/>
          <w:sz w:val="26"/>
          <w:szCs w:val="26"/>
        </w:rPr>
        <w:t>　国务院根据本法制定实施条例。</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第九十九条</w:t>
      </w:r>
      <w:r>
        <w:rPr>
          <w:rFonts w:hint="eastAsia" w:ascii="仿宋" w:hAnsi="仿宋" w:eastAsia="仿宋"/>
          <w:color w:val="404040"/>
          <w:sz w:val="26"/>
          <w:szCs w:val="26"/>
        </w:rPr>
        <w:t>　民族自治地方的预算管理，依照民族区域自治法的有关规定执行；民族区域自治法没有规定的，依照本法和国务院的有关规定执行。</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第一百条</w:t>
      </w:r>
      <w:r>
        <w:rPr>
          <w:rFonts w:hint="eastAsia" w:ascii="仿宋" w:hAnsi="仿宋" w:eastAsia="仿宋"/>
          <w:color w:val="404040"/>
          <w:sz w:val="26"/>
          <w:szCs w:val="26"/>
        </w:rPr>
        <w:t>　省、自治区、直辖市人民代表大会或者其常务委员会根据本法，可以制定有关预算审查监督的决定或者地方性法规。</w:t>
      </w:r>
    </w:p>
    <w:p>
      <w:pPr>
        <w:pStyle w:val="12"/>
        <w:shd w:val="clear" w:color="auto" w:fill="FFFFFF"/>
        <w:spacing w:before="0" w:beforeAutospacing="0" w:after="0" w:afterAutospacing="0" w:line="400" w:lineRule="exact"/>
        <w:ind w:firstLine="560"/>
        <w:jc w:val="both"/>
        <w:rPr>
          <w:rFonts w:ascii="Calibri" w:hAnsi="Calibri"/>
          <w:color w:val="404040"/>
          <w:sz w:val="26"/>
          <w:szCs w:val="26"/>
        </w:rPr>
      </w:pPr>
      <w:r>
        <w:rPr>
          <w:rFonts w:hint="eastAsia" w:ascii="楷体" w:hAnsi="楷体" w:eastAsia="楷体"/>
          <w:color w:val="404040"/>
          <w:sz w:val="26"/>
          <w:szCs w:val="26"/>
        </w:rPr>
        <w:t>第一百零一条</w:t>
      </w:r>
      <w:r>
        <w:rPr>
          <w:rFonts w:hint="eastAsia" w:ascii="仿宋" w:hAnsi="仿宋" w:eastAsia="仿宋"/>
          <w:color w:val="404040"/>
          <w:sz w:val="26"/>
          <w:szCs w:val="26"/>
        </w:rPr>
        <w:t>　本法自</w:t>
      </w:r>
      <w:r>
        <w:rPr>
          <w:rFonts w:hint="eastAsia" w:ascii="微软雅黑" w:hAnsi="微软雅黑" w:eastAsia="微软雅黑"/>
          <w:color w:val="404040"/>
          <w:sz w:val="26"/>
          <w:szCs w:val="26"/>
        </w:rPr>
        <w:t>1995</w:t>
      </w:r>
      <w:r>
        <w:rPr>
          <w:rFonts w:hint="eastAsia" w:ascii="仿宋" w:hAnsi="仿宋" w:eastAsia="仿宋"/>
          <w:color w:val="404040"/>
          <w:sz w:val="26"/>
          <w:szCs w:val="26"/>
        </w:rPr>
        <w:t>年</w:t>
      </w:r>
      <w:r>
        <w:rPr>
          <w:rFonts w:hint="eastAsia" w:ascii="微软雅黑" w:hAnsi="微软雅黑" w:eastAsia="微软雅黑"/>
          <w:color w:val="404040"/>
          <w:sz w:val="26"/>
          <w:szCs w:val="26"/>
        </w:rPr>
        <w:t>1</w:t>
      </w:r>
      <w:r>
        <w:rPr>
          <w:rFonts w:hint="eastAsia" w:ascii="仿宋" w:hAnsi="仿宋" w:eastAsia="仿宋"/>
          <w:color w:val="404040"/>
          <w:sz w:val="26"/>
          <w:szCs w:val="26"/>
        </w:rPr>
        <w:t>月</w:t>
      </w:r>
      <w:r>
        <w:rPr>
          <w:rFonts w:hint="eastAsia" w:ascii="微软雅黑" w:hAnsi="微软雅黑" w:eastAsia="微软雅黑"/>
          <w:color w:val="404040"/>
          <w:sz w:val="26"/>
          <w:szCs w:val="26"/>
        </w:rPr>
        <w:t>1</w:t>
      </w:r>
      <w:r>
        <w:rPr>
          <w:rFonts w:hint="eastAsia" w:ascii="仿宋" w:hAnsi="仿宋" w:eastAsia="仿宋"/>
          <w:color w:val="404040"/>
          <w:sz w:val="26"/>
          <w:szCs w:val="26"/>
        </w:rPr>
        <w:t>日起施行。</w:t>
      </w:r>
      <w:r>
        <w:rPr>
          <w:rFonts w:hint="eastAsia" w:ascii="微软雅黑" w:hAnsi="微软雅黑" w:eastAsia="微软雅黑"/>
          <w:color w:val="404040"/>
          <w:sz w:val="26"/>
          <w:szCs w:val="26"/>
        </w:rPr>
        <w:t>1991</w:t>
      </w:r>
      <w:r>
        <w:rPr>
          <w:rFonts w:hint="eastAsia" w:ascii="仿宋" w:hAnsi="仿宋" w:eastAsia="仿宋"/>
          <w:color w:val="404040"/>
          <w:sz w:val="26"/>
          <w:szCs w:val="26"/>
        </w:rPr>
        <w:t>年</w:t>
      </w:r>
      <w:r>
        <w:rPr>
          <w:rFonts w:hint="eastAsia" w:ascii="微软雅黑" w:hAnsi="微软雅黑" w:eastAsia="微软雅黑"/>
          <w:color w:val="404040"/>
          <w:sz w:val="26"/>
          <w:szCs w:val="26"/>
        </w:rPr>
        <w:t>10</w:t>
      </w:r>
      <w:r>
        <w:rPr>
          <w:rFonts w:hint="eastAsia" w:ascii="仿宋" w:hAnsi="仿宋" w:eastAsia="仿宋"/>
          <w:color w:val="404040"/>
          <w:sz w:val="26"/>
          <w:szCs w:val="26"/>
        </w:rPr>
        <w:t>月</w:t>
      </w:r>
      <w:r>
        <w:rPr>
          <w:rFonts w:hint="eastAsia" w:ascii="微软雅黑" w:hAnsi="微软雅黑" w:eastAsia="微软雅黑"/>
          <w:color w:val="404040"/>
          <w:sz w:val="26"/>
          <w:szCs w:val="26"/>
        </w:rPr>
        <w:t>21</w:t>
      </w:r>
      <w:r>
        <w:rPr>
          <w:rFonts w:hint="eastAsia" w:ascii="仿宋" w:hAnsi="仿宋" w:eastAsia="仿宋"/>
          <w:color w:val="404040"/>
          <w:sz w:val="26"/>
          <w:szCs w:val="26"/>
        </w:rPr>
        <w:t>日国务院发布的《国家预算管理条例》同时废止。</w:t>
      </w:r>
    </w:p>
    <w:p>
      <w:pPr>
        <w:autoSpaceDE w:val="0"/>
        <w:autoSpaceDN w:val="0"/>
        <w:spacing w:line="570" w:lineRule="exact"/>
        <w:jc w:val="center"/>
        <w:rPr>
          <w:rFonts w:ascii="方正小标宋简体" w:hAnsi="方正仿宋简体" w:eastAsia="方正小标宋简体" w:cs="方正仿宋简体"/>
          <w:b/>
          <w:bCs/>
          <w:color w:val="323232"/>
          <w:kern w:val="0"/>
          <w:sz w:val="32"/>
          <w:szCs w:val="32"/>
          <w:lang w:val="zh-CN" w:bidi="zh-CN"/>
        </w:rPr>
      </w:pPr>
    </w:p>
    <w:p>
      <w:pPr>
        <w:autoSpaceDE w:val="0"/>
        <w:autoSpaceDN w:val="0"/>
        <w:spacing w:line="570" w:lineRule="exact"/>
        <w:jc w:val="center"/>
        <w:rPr>
          <w:rFonts w:ascii="方正小标宋简体" w:hAnsi="方正仿宋简体" w:eastAsia="方正小标宋简体" w:cs="方正仿宋简体"/>
          <w:b/>
          <w:bCs/>
          <w:color w:val="323232"/>
          <w:kern w:val="0"/>
          <w:sz w:val="32"/>
          <w:szCs w:val="32"/>
          <w:lang w:val="zh-CN" w:bidi="zh-CN"/>
        </w:rPr>
      </w:pPr>
    </w:p>
    <w:p>
      <w:pPr>
        <w:autoSpaceDE w:val="0"/>
        <w:autoSpaceDN w:val="0"/>
        <w:spacing w:line="570" w:lineRule="exact"/>
        <w:jc w:val="center"/>
        <w:rPr>
          <w:rFonts w:ascii="方正小标宋简体" w:hAnsi="方正仿宋简体" w:eastAsia="方正小标宋简体" w:cs="方正仿宋简体"/>
          <w:b/>
          <w:bCs/>
          <w:color w:val="323232"/>
          <w:kern w:val="0"/>
          <w:sz w:val="32"/>
          <w:szCs w:val="32"/>
          <w:lang w:val="zh-CN" w:bidi="zh-CN"/>
        </w:rPr>
      </w:pPr>
    </w:p>
    <w:p>
      <w:pPr>
        <w:autoSpaceDE w:val="0"/>
        <w:autoSpaceDN w:val="0"/>
        <w:spacing w:line="570" w:lineRule="exact"/>
        <w:jc w:val="center"/>
        <w:rPr>
          <w:rFonts w:ascii="方正小标宋简体" w:hAnsi="方正仿宋简体" w:eastAsia="方正小标宋简体" w:cs="方正仿宋简体"/>
          <w:b/>
          <w:bCs/>
          <w:color w:val="323232"/>
          <w:kern w:val="0"/>
          <w:sz w:val="32"/>
          <w:szCs w:val="32"/>
          <w:lang w:val="zh-CN" w:bidi="zh-CN"/>
        </w:rPr>
      </w:pPr>
    </w:p>
    <w:p>
      <w:pPr>
        <w:autoSpaceDE w:val="0"/>
        <w:autoSpaceDN w:val="0"/>
        <w:spacing w:line="570" w:lineRule="exact"/>
        <w:jc w:val="center"/>
        <w:rPr>
          <w:rFonts w:ascii="方正小标宋简体" w:hAnsi="方正仿宋简体" w:eastAsia="方正小标宋简体" w:cs="方正仿宋简体"/>
          <w:b/>
          <w:bCs/>
          <w:kern w:val="0"/>
          <w:sz w:val="32"/>
          <w:szCs w:val="32"/>
          <w:lang w:val="zh-CN" w:bidi="zh-CN"/>
        </w:rPr>
      </w:pPr>
      <w:r>
        <w:rPr>
          <w:rFonts w:hint="eastAsia" w:ascii="方正小标宋简体" w:hAnsi="方正仿宋简体" w:eastAsia="方正小标宋简体" w:cs="方正仿宋简体"/>
          <w:b/>
          <w:bCs/>
          <w:color w:val="323232"/>
          <w:kern w:val="0"/>
          <w:sz w:val="32"/>
          <w:szCs w:val="32"/>
          <w:lang w:val="zh-CN" w:bidi="zh-CN"/>
        </w:rPr>
        <w:t>中华人民共和国国务院令第 688 号</w:t>
      </w:r>
    </w:p>
    <w:p>
      <w:pPr>
        <w:pStyle w:val="6"/>
        <w:spacing w:line="400" w:lineRule="exact"/>
        <w:jc w:val="left"/>
        <w:rPr>
          <w:kern w:val="0"/>
          <w:sz w:val="26"/>
          <w:szCs w:val="26"/>
        </w:rPr>
      </w:pPr>
    </w:p>
    <w:p>
      <w:pPr>
        <w:pStyle w:val="6"/>
        <w:spacing w:line="400" w:lineRule="exact"/>
        <w:ind w:firstLine="520" w:firstLineChars="200"/>
        <w:jc w:val="left"/>
        <w:rPr>
          <w:bCs/>
          <w:iCs/>
          <w:kern w:val="0"/>
          <w:sz w:val="26"/>
          <w:szCs w:val="26"/>
        </w:rPr>
      </w:pPr>
      <w:r>
        <w:rPr>
          <w:rFonts w:hint="eastAsia"/>
          <w:bCs/>
          <w:iCs/>
          <w:kern w:val="0"/>
          <w:sz w:val="26"/>
          <w:szCs w:val="26"/>
        </w:rPr>
        <w:t>《机关团体建设楼堂馆所管理条例》已经 2017 年 8 月 18日国务院第 182 次常务会议通过，现予公布，自 2017 年 12 月1 日起施行。</w:t>
      </w:r>
    </w:p>
    <w:p>
      <w:pPr>
        <w:pStyle w:val="6"/>
        <w:spacing w:line="400" w:lineRule="exact"/>
        <w:ind w:firstLine="520" w:firstLineChars="200"/>
        <w:jc w:val="left"/>
        <w:rPr>
          <w:bCs/>
          <w:iCs/>
          <w:kern w:val="0"/>
          <w:sz w:val="26"/>
          <w:szCs w:val="26"/>
        </w:rPr>
      </w:pPr>
    </w:p>
    <w:p>
      <w:pPr>
        <w:pStyle w:val="6"/>
        <w:spacing w:line="400" w:lineRule="exact"/>
        <w:ind w:right="418" w:firstLine="4788" w:firstLineChars="1900"/>
        <w:jc w:val="left"/>
        <w:rPr>
          <w:color w:val="323232"/>
          <w:spacing w:val="-4"/>
          <w:kern w:val="0"/>
          <w:sz w:val="26"/>
          <w:szCs w:val="26"/>
        </w:rPr>
      </w:pPr>
      <w:r>
        <w:rPr>
          <w:rFonts w:hint="eastAsia"/>
          <w:color w:val="323232"/>
          <w:spacing w:val="-4"/>
          <w:kern w:val="0"/>
          <w:sz w:val="26"/>
          <w:szCs w:val="26"/>
        </w:rPr>
        <w:t>总理 李克强</w:t>
      </w:r>
    </w:p>
    <w:p>
      <w:pPr>
        <w:pStyle w:val="6"/>
        <w:spacing w:line="400" w:lineRule="exact"/>
        <w:ind w:right="418" w:firstLine="4550" w:firstLineChars="1750"/>
        <w:jc w:val="left"/>
        <w:rPr>
          <w:color w:val="323232"/>
          <w:spacing w:val="-36"/>
          <w:kern w:val="0"/>
          <w:sz w:val="26"/>
          <w:szCs w:val="26"/>
        </w:rPr>
      </w:pPr>
      <w:r>
        <w:rPr>
          <w:rFonts w:hint="eastAsia"/>
          <w:color w:val="323232"/>
          <w:kern w:val="0"/>
          <w:sz w:val="26"/>
          <w:szCs w:val="26"/>
        </w:rPr>
        <w:t>2017</w:t>
      </w:r>
      <w:r>
        <w:rPr>
          <w:rFonts w:hint="eastAsia"/>
          <w:color w:val="323232"/>
          <w:spacing w:val="-41"/>
          <w:kern w:val="0"/>
          <w:sz w:val="26"/>
          <w:szCs w:val="26"/>
        </w:rPr>
        <w:t xml:space="preserve"> 年 </w:t>
      </w:r>
      <w:r>
        <w:rPr>
          <w:rFonts w:hint="eastAsia"/>
          <w:color w:val="323232"/>
          <w:kern w:val="0"/>
          <w:sz w:val="26"/>
          <w:szCs w:val="26"/>
        </w:rPr>
        <w:t>10</w:t>
      </w:r>
      <w:r>
        <w:rPr>
          <w:rFonts w:hint="eastAsia"/>
          <w:color w:val="323232"/>
          <w:spacing w:val="-40"/>
          <w:kern w:val="0"/>
          <w:sz w:val="26"/>
          <w:szCs w:val="26"/>
        </w:rPr>
        <w:t xml:space="preserve"> 月 </w:t>
      </w:r>
      <w:r>
        <w:rPr>
          <w:rFonts w:hint="eastAsia"/>
          <w:color w:val="323232"/>
          <w:kern w:val="0"/>
          <w:sz w:val="26"/>
          <w:szCs w:val="26"/>
        </w:rPr>
        <w:t>5</w:t>
      </w:r>
      <w:r>
        <w:rPr>
          <w:rFonts w:hint="eastAsia"/>
          <w:color w:val="323232"/>
          <w:spacing w:val="-36"/>
          <w:kern w:val="0"/>
          <w:sz w:val="26"/>
          <w:szCs w:val="26"/>
        </w:rPr>
        <w:t xml:space="preserve"> 日</w:t>
      </w:r>
    </w:p>
    <w:p>
      <w:pPr>
        <w:autoSpaceDE w:val="0"/>
        <w:autoSpaceDN w:val="0"/>
        <w:spacing w:line="400" w:lineRule="exact"/>
        <w:ind w:firstLine="520" w:firstLineChars="200"/>
        <w:jc w:val="center"/>
        <w:rPr>
          <w:rFonts w:ascii="方正仿宋简体" w:hAnsi="方正仿宋简体" w:eastAsia="方正仿宋简体" w:cs="方正仿宋简体"/>
          <w:b/>
          <w:bCs/>
          <w:color w:val="323232"/>
          <w:kern w:val="0"/>
          <w:sz w:val="26"/>
          <w:szCs w:val="26"/>
          <w:lang w:val="zh-CN" w:bidi="zh-CN"/>
        </w:rPr>
      </w:pPr>
      <w:r>
        <w:rPr>
          <w:rFonts w:hint="eastAsia" w:ascii="方正仿宋简体" w:hAnsi="方正仿宋简体" w:eastAsia="方正仿宋简体" w:cs="方正仿宋简体"/>
          <w:kern w:val="0"/>
          <w:sz w:val="26"/>
          <w:szCs w:val="26"/>
          <w:lang w:val="zh-CN" w:bidi="zh-CN"/>
        </w:rPr>
        <w:br w:type="page"/>
      </w:r>
      <w:r>
        <w:rPr>
          <w:rFonts w:hint="eastAsia" w:ascii="方正小标宋简体" w:hAnsi="方正仿宋简体" w:eastAsia="方正小标宋简体" w:cs="方正仿宋简体"/>
          <w:b/>
          <w:bCs/>
          <w:color w:val="323232"/>
          <w:kern w:val="0"/>
          <w:sz w:val="32"/>
          <w:szCs w:val="32"/>
          <w:lang w:val="zh-CN" w:bidi="zh-CN"/>
        </w:rPr>
        <w:t>机关团体建设楼堂馆所管理条例</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 则</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第一条</w:t>
      </w:r>
      <w:r>
        <w:rPr>
          <w:rFonts w:hint="eastAsia"/>
          <w:bCs/>
          <w:iCs/>
          <w:kern w:val="0"/>
          <w:sz w:val="26"/>
          <w:szCs w:val="26"/>
        </w:rPr>
        <w:t xml:space="preserve"> 为了严格控制机关、团体建设楼堂馆所，厉行节约、反对浪费，制定本条例。</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第二条</w:t>
      </w:r>
      <w:r>
        <w:rPr>
          <w:rFonts w:hint="eastAsia"/>
          <w:bCs/>
          <w:iCs/>
          <w:kern w:val="0"/>
          <w:sz w:val="26"/>
          <w:szCs w:val="26"/>
        </w:rPr>
        <w:t xml:space="preserve"> 机关、团体建设楼堂馆所，适用本条例。</w:t>
      </w:r>
    </w:p>
    <w:p>
      <w:pPr>
        <w:pStyle w:val="6"/>
        <w:spacing w:line="400" w:lineRule="exact"/>
        <w:ind w:firstLine="520" w:firstLineChars="200"/>
        <w:jc w:val="left"/>
        <w:rPr>
          <w:bCs/>
          <w:iCs/>
          <w:kern w:val="0"/>
          <w:sz w:val="26"/>
          <w:szCs w:val="26"/>
        </w:rPr>
      </w:pPr>
      <w:r>
        <w:rPr>
          <w:rFonts w:hint="eastAsia"/>
          <w:bCs/>
          <w:iCs/>
          <w:kern w:val="0"/>
          <w:sz w:val="26"/>
          <w:szCs w:val="26"/>
        </w:rPr>
        <w:t>本条例所称建设，是指新建、扩建、改建、购置；所称楼堂馆所，是指办公用房以及培训中心等各类具有住宿、会议、餐饮等接待功能的场所和设施。</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第三条</w:t>
      </w:r>
      <w:r>
        <w:rPr>
          <w:rFonts w:hint="eastAsia"/>
          <w:bCs/>
          <w:iCs/>
          <w:kern w:val="0"/>
          <w:sz w:val="26"/>
          <w:szCs w:val="26"/>
        </w:rPr>
        <w:t xml:space="preserve"> 建设办公用房应当严格履行审批程序，严格执行建设标准。未经批准，不得建设办公用房。</w:t>
      </w:r>
    </w:p>
    <w:p>
      <w:pPr>
        <w:pStyle w:val="6"/>
        <w:spacing w:line="400" w:lineRule="exact"/>
        <w:ind w:firstLine="520" w:firstLineChars="200"/>
        <w:jc w:val="left"/>
        <w:rPr>
          <w:bCs/>
          <w:iCs/>
          <w:kern w:val="0"/>
          <w:sz w:val="26"/>
          <w:szCs w:val="26"/>
        </w:rPr>
      </w:pPr>
      <w:r>
        <w:rPr>
          <w:rFonts w:hint="eastAsia"/>
          <w:bCs/>
          <w:iCs/>
          <w:kern w:val="0"/>
          <w:sz w:val="26"/>
          <w:szCs w:val="26"/>
        </w:rPr>
        <w:t>禁止以技术业务用房等名义建设办公用房或者违反规定在技术业务用房中设置办公用房。</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第四条</w:t>
      </w:r>
      <w:r>
        <w:rPr>
          <w:rFonts w:hint="eastAsia"/>
          <w:bCs/>
          <w:iCs/>
          <w:kern w:val="0"/>
          <w:sz w:val="26"/>
          <w:szCs w:val="26"/>
        </w:rPr>
        <w:t xml:space="preserve"> 建设办公用房应当遵循朴素、实用、安全、节能的原则。</w:t>
      </w:r>
    </w:p>
    <w:p>
      <w:pPr>
        <w:pStyle w:val="6"/>
        <w:spacing w:line="400" w:lineRule="exact"/>
        <w:ind w:firstLine="520" w:firstLineChars="200"/>
        <w:jc w:val="left"/>
        <w:rPr>
          <w:bCs/>
          <w:iCs/>
          <w:kern w:val="0"/>
          <w:sz w:val="26"/>
          <w:szCs w:val="26"/>
        </w:rPr>
      </w:pPr>
      <w:r>
        <w:rPr>
          <w:rFonts w:hint="eastAsia"/>
          <w:bCs/>
          <w:iCs/>
          <w:kern w:val="0"/>
          <w:sz w:val="26"/>
          <w:szCs w:val="26"/>
        </w:rPr>
        <w:t>国务院发展改革部门会同国务院住房城乡建设部门、财政部门制定办公用房建设标准，并向社会公布。</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第五条</w:t>
      </w:r>
      <w:r>
        <w:rPr>
          <w:rFonts w:hint="eastAsia"/>
          <w:bCs/>
          <w:iCs/>
          <w:kern w:val="0"/>
          <w:sz w:val="26"/>
          <w:szCs w:val="26"/>
        </w:rPr>
        <w:t xml:space="preserve"> 机关、团体不得建设培训中心等各类具有住宿、会议、餐饮等接待功能的场所和设施。</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项目审批</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第六条</w:t>
      </w:r>
      <w:r>
        <w:rPr>
          <w:rFonts w:hint="eastAsia"/>
          <w:bCs/>
          <w:iCs/>
          <w:kern w:val="0"/>
          <w:sz w:val="26"/>
          <w:szCs w:val="26"/>
        </w:rPr>
        <w:t xml:space="preserve"> 建设办公用房的，应当向负责项目审批的机关（以下简称审批机关）报送项目建议书、可行性研究报告、初步设计；购置办公用房的，不报送初步设计。</w:t>
      </w:r>
    </w:p>
    <w:p>
      <w:pPr>
        <w:pStyle w:val="6"/>
        <w:spacing w:line="400" w:lineRule="exact"/>
        <w:ind w:firstLine="520" w:firstLineChars="200"/>
        <w:jc w:val="left"/>
        <w:rPr>
          <w:bCs/>
          <w:iCs/>
          <w:kern w:val="0"/>
          <w:sz w:val="26"/>
          <w:szCs w:val="26"/>
        </w:rPr>
      </w:pPr>
      <w:r>
        <w:rPr>
          <w:rFonts w:hint="eastAsia"/>
          <w:bCs/>
          <w:iCs/>
          <w:kern w:val="0"/>
          <w:sz w:val="26"/>
          <w:szCs w:val="26"/>
        </w:rPr>
        <w:t>根据办公用房项目的具体情况，经审批机关同意，项目建议书、可行性研究报告、初步设计可以合并编制报送。</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第七条</w:t>
      </w:r>
      <w:r>
        <w:rPr>
          <w:rFonts w:hint="eastAsia"/>
          <w:bCs/>
          <w:iCs/>
          <w:kern w:val="0"/>
          <w:sz w:val="26"/>
          <w:szCs w:val="26"/>
        </w:rPr>
        <w:t xml:space="preserve"> 办公用房项目的审批机关及其审批权限，按照国家有关规定执行。</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第八条</w:t>
      </w:r>
      <w:r>
        <w:rPr>
          <w:rFonts w:hint="eastAsia"/>
          <w:bCs/>
          <w:iCs/>
          <w:kern w:val="0"/>
          <w:sz w:val="26"/>
          <w:szCs w:val="26"/>
        </w:rPr>
        <w:t xml:space="preserve"> 审批机关应当严格审核办公用房项目，按照建设标准核定建设内容、建设规模和投资概算。</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第九条</w:t>
      </w:r>
      <w:r>
        <w:rPr>
          <w:rFonts w:hint="eastAsia"/>
          <w:bCs/>
          <w:iCs/>
          <w:kern w:val="0"/>
          <w:sz w:val="26"/>
          <w:szCs w:val="26"/>
        </w:rPr>
        <w:t xml:space="preserve"> 办公用房项目有下列情形之一的，审批机关不得批</w:t>
      </w:r>
    </w:p>
    <w:p>
      <w:pPr>
        <w:pStyle w:val="6"/>
        <w:spacing w:line="400" w:lineRule="exact"/>
        <w:ind w:firstLine="520" w:firstLineChars="200"/>
        <w:jc w:val="left"/>
        <w:rPr>
          <w:bCs/>
          <w:iCs/>
          <w:kern w:val="0"/>
          <w:sz w:val="26"/>
          <w:szCs w:val="26"/>
        </w:rPr>
      </w:pPr>
      <w:r>
        <w:rPr>
          <w:rFonts w:hint="eastAsia"/>
          <w:bCs/>
          <w:iCs/>
          <w:kern w:val="0"/>
          <w:sz w:val="26"/>
          <w:szCs w:val="26"/>
        </w:rPr>
        <w:t>准：</w:t>
      </w:r>
    </w:p>
    <w:p>
      <w:pPr>
        <w:pStyle w:val="6"/>
        <w:spacing w:line="400" w:lineRule="exact"/>
        <w:ind w:firstLine="520" w:firstLineChars="200"/>
        <w:jc w:val="left"/>
        <w:rPr>
          <w:bCs/>
          <w:iCs/>
          <w:kern w:val="0"/>
          <w:sz w:val="26"/>
          <w:szCs w:val="26"/>
        </w:rPr>
      </w:pPr>
      <w:r>
        <w:rPr>
          <w:rFonts w:hint="eastAsia"/>
          <w:bCs/>
          <w:iCs/>
          <w:kern w:val="0"/>
          <w:sz w:val="26"/>
          <w:szCs w:val="26"/>
        </w:rPr>
        <w:t>（一）属于禁止建设办公用房的情形；</w:t>
      </w:r>
    </w:p>
    <w:p>
      <w:pPr>
        <w:pStyle w:val="6"/>
        <w:spacing w:line="400" w:lineRule="exact"/>
        <w:ind w:firstLine="520" w:firstLineChars="200"/>
        <w:jc w:val="left"/>
        <w:rPr>
          <w:bCs/>
          <w:iCs/>
          <w:kern w:val="0"/>
          <w:sz w:val="26"/>
          <w:szCs w:val="26"/>
        </w:rPr>
      </w:pPr>
      <w:r>
        <w:rPr>
          <w:rFonts w:hint="eastAsia"/>
          <w:bCs/>
          <w:iCs/>
          <w:kern w:val="0"/>
          <w:sz w:val="26"/>
          <w:szCs w:val="26"/>
        </w:rPr>
        <w:t>（二）建设的必要性不充分；</w:t>
      </w:r>
    </w:p>
    <w:p>
      <w:pPr>
        <w:pStyle w:val="6"/>
        <w:spacing w:line="400" w:lineRule="exact"/>
        <w:ind w:firstLine="520" w:firstLineChars="200"/>
        <w:jc w:val="left"/>
        <w:rPr>
          <w:bCs/>
          <w:iCs/>
          <w:kern w:val="0"/>
          <w:sz w:val="26"/>
          <w:szCs w:val="26"/>
        </w:rPr>
      </w:pPr>
      <w:r>
        <w:rPr>
          <w:rFonts w:hint="eastAsia"/>
          <w:bCs/>
          <w:iCs/>
          <w:kern w:val="0"/>
          <w:sz w:val="26"/>
          <w:szCs w:val="26"/>
        </w:rPr>
        <w:t>（三）建设资金来源不符合规定；</w:t>
      </w:r>
    </w:p>
    <w:p>
      <w:pPr>
        <w:pStyle w:val="6"/>
        <w:spacing w:line="400" w:lineRule="exact"/>
        <w:ind w:firstLine="520" w:firstLineChars="200"/>
        <w:jc w:val="left"/>
        <w:rPr>
          <w:bCs/>
          <w:iCs/>
          <w:kern w:val="0"/>
          <w:sz w:val="26"/>
          <w:szCs w:val="26"/>
        </w:rPr>
      </w:pPr>
      <w:r>
        <w:rPr>
          <w:rFonts w:hint="eastAsia"/>
          <w:bCs/>
          <w:iCs/>
          <w:kern w:val="0"/>
          <w:sz w:val="26"/>
          <w:szCs w:val="26"/>
        </w:rPr>
        <w:t>（四）建设内容、建设规模等不符合建设标准；</w:t>
      </w:r>
    </w:p>
    <w:p>
      <w:pPr>
        <w:pStyle w:val="6"/>
        <w:spacing w:line="400" w:lineRule="exact"/>
        <w:ind w:firstLine="520" w:firstLineChars="200"/>
        <w:jc w:val="left"/>
        <w:rPr>
          <w:bCs/>
          <w:iCs/>
          <w:kern w:val="0"/>
          <w:sz w:val="26"/>
          <w:szCs w:val="26"/>
        </w:rPr>
      </w:pPr>
      <w:r>
        <w:rPr>
          <w:rFonts w:hint="eastAsia"/>
          <w:bCs/>
          <w:iCs/>
          <w:kern w:val="0"/>
          <w:sz w:val="26"/>
          <w:szCs w:val="26"/>
        </w:rPr>
        <w:t>（五）其他不得批准的情形。</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第十条</w:t>
      </w:r>
      <w:r>
        <w:rPr>
          <w:rFonts w:hint="eastAsia"/>
          <w:bCs/>
          <w:iCs/>
          <w:kern w:val="0"/>
          <w:sz w:val="26"/>
          <w:szCs w:val="26"/>
        </w:rPr>
        <w:t xml:space="preserve"> 对未经批准的办公用房项目，不得办理规划、用地、施工等相关手续，不得安排预算、拨付资金。</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第十一条</w:t>
      </w:r>
      <w:r>
        <w:rPr>
          <w:rFonts w:hint="eastAsia"/>
          <w:bCs/>
          <w:iCs/>
          <w:kern w:val="0"/>
          <w:sz w:val="26"/>
          <w:szCs w:val="26"/>
        </w:rPr>
        <w:t xml:space="preserve"> 办公用房项目应当按照审批机关核定的建设内容、建设规模和投资概算进行设计、施工。因国家政策调整、价格上涨、地质条件发生重大变化等原因确需增加投资概算的，应 当经原审批机关批准。</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第十二条</w:t>
      </w:r>
      <w:r>
        <w:rPr>
          <w:rFonts w:hint="eastAsia"/>
          <w:bCs/>
          <w:iCs/>
          <w:kern w:val="0"/>
          <w:sz w:val="26"/>
          <w:szCs w:val="26"/>
        </w:rPr>
        <w:t xml:space="preserve"> 审批机关应当完善审批工作流程，建立健全审批工作责任制和内部监督机制。</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建设资金</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第十三条</w:t>
      </w:r>
      <w:r>
        <w:rPr>
          <w:rFonts w:hint="eastAsia"/>
          <w:bCs/>
          <w:iCs/>
          <w:kern w:val="0"/>
          <w:sz w:val="26"/>
          <w:szCs w:val="26"/>
        </w:rPr>
        <w:t xml:space="preserve"> 办公用房项目的建设资金由预算资金安排。办公用房项目的建设资金来源不得有下列情形：</w:t>
      </w:r>
    </w:p>
    <w:p>
      <w:pPr>
        <w:pStyle w:val="6"/>
        <w:spacing w:line="400" w:lineRule="exact"/>
        <w:ind w:firstLine="520" w:firstLineChars="200"/>
        <w:jc w:val="left"/>
        <w:rPr>
          <w:bCs/>
          <w:iCs/>
          <w:kern w:val="0"/>
          <w:sz w:val="26"/>
          <w:szCs w:val="26"/>
        </w:rPr>
      </w:pPr>
      <w:r>
        <w:rPr>
          <w:rFonts w:hint="eastAsia"/>
          <w:bCs/>
          <w:iCs/>
          <w:kern w:val="0"/>
          <w:sz w:val="26"/>
          <w:szCs w:val="26"/>
        </w:rPr>
        <w:t>（一）挪用各类专项资金；</w:t>
      </w:r>
    </w:p>
    <w:p>
      <w:pPr>
        <w:pStyle w:val="6"/>
        <w:spacing w:line="400" w:lineRule="exact"/>
        <w:ind w:firstLine="520" w:firstLineChars="200"/>
        <w:jc w:val="left"/>
        <w:rPr>
          <w:bCs/>
          <w:iCs/>
          <w:kern w:val="0"/>
          <w:sz w:val="26"/>
          <w:szCs w:val="26"/>
        </w:rPr>
      </w:pPr>
      <w:r>
        <w:rPr>
          <w:rFonts w:hint="eastAsia"/>
          <w:bCs/>
          <w:iCs/>
          <w:kern w:val="0"/>
          <w:sz w:val="26"/>
          <w:szCs w:val="26"/>
        </w:rPr>
        <w:t>（二）向单位、个人摊派；</w:t>
      </w:r>
    </w:p>
    <w:p>
      <w:pPr>
        <w:pStyle w:val="6"/>
        <w:spacing w:line="400" w:lineRule="exact"/>
        <w:ind w:firstLine="520" w:firstLineChars="200"/>
        <w:jc w:val="left"/>
        <w:rPr>
          <w:bCs/>
          <w:iCs/>
          <w:kern w:val="0"/>
          <w:sz w:val="26"/>
          <w:szCs w:val="26"/>
        </w:rPr>
      </w:pPr>
      <w:r>
        <w:rPr>
          <w:rFonts w:hint="eastAsia"/>
          <w:bCs/>
          <w:iCs/>
          <w:kern w:val="0"/>
          <w:sz w:val="26"/>
          <w:szCs w:val="26"/>
        </w:rPr>
        <w:t>（三）向银行等金融机构借款；</w:t>
      </w:r>
    </w:p>
    <w:p>
      <w:pPr>
        <w:pStyle w:val="6"/>
        <w:spacing w:line="400" w:lineRule="exact"/>
        <w:ind w:firstLine="520" w:firstLineChars="200"/>
        <w:jc w:val="left"/>
        <w:rPr>
          <w:bCs/>
          <w:iCs/>
          <w:kern w:val="0"/>
          <w:sz w:val="26"/>
          <w:szCs w:val="26"/>
        </w:rPr>
      </w:pPr>
      <w:r>
        <w:rPr>
          <w:rFonts w:hint="eastAsia"/>
          <w:bCs/>
          <w:iCs/>
          <w:kern w:val="0"/>
          <w:sz w:val="26"/>
          <w:szCs w:val="26"/>
        </w:rPr>
        <w:t>（四）接受赞助或者捐赠；</w:t>
      </w:r>
    </w:p>
    <w:p>
      <w:pPr>
        <w:pStyle w:val="6"/>
        <w:spacing w:line="400" w:lineRule="exact"/>
        <w:ind w:firstLine="520" w:firstLineChars="200"/>
        <w:jc w:val="left"/>
        <w:rPr>
          <w:bCs/>
          <w:iCs/>
          <w:kern w:val="0"/>
          <w:sz w:val="26"/>
          <w:szCs w:val="26"/>
        </w:rPr>
      </w:pPr>
      <w:r>
        <w:rPr>
          <w:rFonts w:hint="eastAsia"/>
          <w:bCs/>
          <w:iCs/>
          <w:kern w:val="0"/>
          <w:sz w:val="26"/>
          <w:szCs w:val="26"/>
        </w:rPr>
        <w:t>（五）其他违反规定的情形。</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 xml:space="preserve">第十四条 </w:t>
      </w:r>
      <w:r>
        <w:rPr>
          <w:rFonts w:hint="eastAsia"/>
          <w:bCs/>
          <w:iCs/>
          <w:kern w:val="0"/>
          <w:sz w:val="26"/>
          <w:szCs w:val="26"/>
        </w:rPr>
        <w:t>办公用房项目的建设资金按照国库集中支付制度的有关规定支付。</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第十五条</w:t>
      </w:r>
      <w:r>
        <w:rPr>
          <w:rFonts w:hint="eastAsia"/>
          <w:bCs/>
          <w:iCs/>
          <w:kern w:val="0"/>
          <w:sz w:val="26"/>
          <w:szCs w:val="26"/>
        </w:rPr>
        <w:t xml:space="preserve"> 办公用房项目竣工后，建设单位应当按照规定及时组织编报竣工财务决算，并及时办理固定资产入账手续。</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第四章监督检查</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第十六条</w:t>
      </w:r>
      <w:r>
        <w:rPr>
          <w:rFonts w:hint="eastAsia"/>
          <w:bCs/>
          <w:iCs/>
          <w:kern w:val="0"/>
          <w:sz w:val="26"/>
          <w:szCs w:val="26"/>
        </w:rPr>
        <w:t xml:space="preserve"> 审批机关、财政部门、审计机关、监察机关（以下统称监督检查机关）应当按照各自的职责，加强对建设楼堂馆所活动的监督检查和绩效评价。</w:t>
      </w:r>
    </w:p>
    <w:p>
      <w:pPr>
        <w:pStyle w:val="6"/>
        <w:spacing w:line="400" w:lineRule="exact"/>
        <w:ind w:firstLine="520" w:firstLineChars="200"/>
        <w:jc w:val="left"/>
        <w:rPr>
          <w:bCs/>
          <w:iCs/>
          <w:kern w:val="0"/>
          <w:sz w:val="26"/>
          <w:szCs w:val="26"/>
        </w:rPr>
      </w:pPr>
      <w:r>
        <w:rPr>
          <w:rFonts w:hint="eastAsia"/>
          <w:bCs/>
          <w:iCs/>
          <w:kern w:val="0"/>
          <w:sz w:val="26"/>
          <w:szCs w:val="26"/>
        </w:rPr>
        <w:t>监督检查机关应当密切配合，建立信息共享机制，并根据实际需要开展联合监督检查、专项监督检查。</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第十七条</w:t>
      </w:r>
      <w:r>
        <w:rPr>
          <w:rFonts w:hint="eastAsia"/>
          <w:bCs/>
          <w:iCs/>
          <w:kern w:val="0"/>
          <w:sz w:val="26"/>
          <w:szCs w:val="26"/>
        </w:rPr>
        <w:t xml:space="preserve"> 监督检查机关对建设楼堂馆所活动实施监督检查，有权要求建设单位以及其他相关单位提供有关文件和资料，向有关人员了解情况，进行现场核查。建设单位以及其他相关单 位对监督检查应当予以配合，不得拒绝、阻碍。</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第十八条</w:t>
      </w:r>
      <w:r>
        <w:rPr>
          <w:rFonts w:hint="eastAsia"/>
          <w:bCs/>
          <w:iCs/>
          <w:kern w:val="0"/>
          <w:sz w:val="26"/>
          <w:szCs w:val="26"/>
        </w:rPr>
        <w:t xml:space="preserve"> 建设单位应当按照有关规定加强办公用房项目档案管理，将项目审批和实施过程中的有关文件、资料存档备查。</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第十九条</w:t>
      </w:r>
      <w:r>
        <w:rPr>
          <w:rFonts w:hint="eastAsia"/>
          <w:bCs/>
          <w:iCs/>
          <w:kern w:val="0"/>
          <w:sz w:val="26"/>
          <w:szCs w:val="26"/>
        </w:rPr>
        <w:t xml:space="preserve"> 除依法应当保密的情形外，下列信息应当通过政府网站等便于公众知晓的方式公开：</w:t>
      </w:r>
    </w:p>
    <w:p>
      <w:pPr>
        <w:pStyle w:val="6"/>
        <w:spacing w:line="400" w:lineRule="exact"/>
        <w:ind w:firstLine="520" w:firstLineChars="200"/>
        <w:jc w:val="left"/>
        <w:rPr>
          <w:bCs/>
          <w:iCs/>
          <w:kern w:val="0"/>
          <w:sz w:val="26"/>
          <w:szCs w:val="26"/>
        </w:rPr>
      </w:pPr>
      <w:r>
        <w:rPr>
          <w:rFonts w:hint="eastAsia"/>
          <w:bCs/>
          <w:iCs/>
          <w:kern w:val="0"/>
          <w:sz w:val="26"/>
          <w:szCs w:val="26"/>
        </w:rPr>
        <w:t>（一）办公用房项目审批情况，包括建设单位名称、批准的理由以及建设内容、建设规模、投资概算等；增加投资概算的，还应当公开增加投资概算的情况和理由。</w:t>
      </w:r>
    </w:p>
    <w:p>
      <w:pPr>
        <w:pStyle w:val="6"/>
        <w:spacing w:line="400" w:lineRule="exact"/>
        <w:ind w:firstLine="520" w:firstLineChars="200"/>
        <w:jc w:val="left"/>
        <w:rPr>
          <w:bCs/>
          <w:iCs/>
          <w:kern w:val="0"/>
          <w:sz w:val="26"/>
          <w:szCs w:val="26"/>
        </w:rPr>
      </w:pPr>
      <w:r>
        <w:rPr>
          <w:rFonts w:hint="eastAsia"/>
          <w:bCs/>
          <w:iCs/>
          <w:kern w:val="0"/>
          <w:sz w:val="26"/>
          <w:szCs w:val="26"/>
        </w:rPr>
        <w:t>（二）监督检查情况，包括发现的违法建设楼堂馆所的单位名称、基本事实以及处理结果等。</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第二十条</w:t>
      </w:r>
      <w:r>
        <w:rPr>
          <w:rFonts w:hint="eastAsia"/>
          <w:bCs/>
          <w:iCs/>
          <w:kern w:val="0"/>
          <w:sz w:val="26"/>
          <w:szCs w:val="26"/>
        </w:rPr>
        <w:t xml:space="preserve"> 对违反本条例规定的行为，任何单位和个人有权向监督检查机关举报。</w:t>
      </w:r>
    </w:p>
    <w:p>
      <w:pPr>
        <w:pStyle w:val="6"/>
        <w:spacing w:line="400" w:lineRule="exact"/>
        <w:ind w:firstLine="520" w:firstLineChars="200"/>
        <w:jc w:val="left"/>
        <w:rPr>
          <w:bCs/>
          <w:iCs/>
          <w:kern w:val="0"/>
          <w:sz w:val="26"/>
          <w:szCs w:val="26"/>
        </w:rPr>
      </w:pPr>
      <w:r>
        <w:rPr>
          <w:rFonts w:hint="eastAsia"/>
          <w:bCs/>
          <w:iCs/>
          <w:kern w:val="0"/>
          <w:sz w:val="26"/>
          <w:szCs w:val="26"/>
        </w:rPr>
        <w:t>监督检查机关应当通过公开举报电话和邮箱、在政府网站设置举报专栏等方式，接受单位和个人的举报，并及时依法处理。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法律责任</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第二十一条</w:t>
      </w:r>
      <w:r>
        <w:rPr>
          <w:rFonts w:hint="eastAsia"/>
          <w:bCs/>
          <w:iCs/>
          <w:kern w:val="0"/>
          <w:sz w:val="26"/>
          <w:szCs w:val="26"/>
        </w:rPr>
        <w:t xml:space="preserve"> 机关、团体有下列情形之一的，根据具体情况责令停止相关建设活动或者改正，对所涉楼堂馆所予以收缴、拍卖或者责令限期腾退，对负有责任的领导人员和直接责任人员依法给予处分：</w:t>
      </w:r>
    </w:p>
    <w:p>
      <w:pPr>
        <w:pStyle w:val="6"/>
        <w:spacing w:line="400" w:lineRule="exact"/>
        <w:ind w:firstLine="520" w:firstLineChars="200"/>
        <w:jc w:val="left"/>
        <w:rPr>
          <w:bCs/>
          <w:iCs/>
          <w:kern w:val="0"/>
          <w:sz w:val="26"/>
          <w:szCs w:val="26"/>
        </w:rPr>
      </w:pPr>
      <w:r>
        <w:rPr>
          <w:rFonts w:hint="eastAsia"/>
          <w:bCs/>
          <w:iCs/>
          <w:kern w:val="0"/>
          <w:sz w:val="26"/>
          <w:szCs w:val="26"/>
        </w:rPr>
        <w:t>（一）建设培训中心等各类具有住宿、会议、餐饮等接待功能的场所和设施；</w:t>
      </w:r>
    </w:p>
    <w:p>
      <w:pPr>
        <w:pStyle w:val="6"/>
        <w:spacing w:line="400" w:lineRule="exact"/>
        <w:ind w:firstLine="520" w:firstLineChars="200"/>
        <w:jc w:val="left"/>
        <w:rPr>
          <w:bCs/>
          <w:iCs/>
          <w:kern w:val="0"/>
          <w:sz w:val="26"/>
          <w:szCs w:val="26"/>
        </w:rPr>
      </w:pPr>
      <w:r>
        <w:rPr>
          <w:rFonts w:hint="eastAsia"/>
          <w:bCs/>
          <w:iCs/>
          <w:kern w:val="0"/>
          <w:sz w:val="26"/>
          <w:szCs w:val="26"/>
        </w:rPr>
        <w:t>（二）未经批准建设办公用房；</w:t>
      </w:r>
    </w:p>
    <w:p>
      <w:pPr>
        <w:pStyle w:val="6"/>
        <w:spacing w:line="400" w:lineRule="exact"/>
        <w:ind w:firstLine="520" w:firstLineChars="200"/>
        <w:jc w:val="left"/>
        <w:rPr>
          <w:bCs/>
          <w:iCs/>
          <w:kern w:val="0"/>
          <w:sz w:val="26"/>
          <w:szCs w:val="26"/>
        </w:rPr>
      </w:pPr>
      <w:r>
        <w:rPr>
          <w:rFonts w:hint="eastAsia"/>
          <w:bCs/>
          <w:iCs/>
          <w:kern w:val="0"/>
          <w:sz w:val="26"/>
          <w:szCs w:val="26"/>
        </w:rPr>
        <w:t>（三）以技术业务用房等名义建设办公用房，或者违反规定在技术业务用房中设置办公用房；</w:t>
      </w:r>
    </w:p>
    <w:p>
      <w:pPr>
        <w:pStyle w:val="6"/>
        <w:spacing w:line="400" w:lineRule="exact"/>
        <w:ind w:firstLine="520" w:firstLineChars="200"/>
        <w:jc w:val="left"/>
        <w:rPr>
          <w:bCs/>
          <w:iCs/>
          <w:kern w:val="0"/>
          <w:sz w:val="26"/>
          <w:szCs w:val="26"/>
        </w:rPr>
      </w:pPr>
      <w:r>
        <w:rPr>
          <w:rFonts w:hint="eastAsia"/>
          <w:bCs/>
          <w:iCs/>
          <w:kern w:val="0"/>
          <w:sz w:val="26"/>
          <w:szCs w:val="26"/>
        </w:rPr>
        <w:t>（四）擅自改变建设内容、扩大建设规模，或者擅自增加投资概算；</w:t>
      </w:r>
    </w:p>
    <w:p>
      <w:pPr>
        <w:pStyle w:val="6"/>
        <w:spacing w:line="400" w:lineRule="exact"/>
        <w:ind w:firstLine="520" w:firstLineChars="200"/>
        <w:jc w:val="left"/>
        <w:rPr>
          <w:bCs/>
          <w:iCs/>
          <w:kern w:val="0"/>
          <w:sz w:val="26"/>
          <w:szCs w:val="26"/>
        </w:rPr>
      </w:pPr>
      <w:r>
        <w:rPr>
          <w:rFonts w:hint="eastAsia"/>
          <w:bCs/>
          <w:iCs/>
          <w:kern w:val="0"/>
          <w:sz w:val="26"/>
          <w:szCs w:val="26"/>
        </w:rPr>
        <w:t>（五）办公用房项目建设资金来源不符合规定。</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 xml:space="preserve">第二十二条 </w:t>
      </w:r>
      <w:r>
        <w:rPr>
          <w:rFonts w:hint="eastAsia"/>
          <w:bCs/>
          <w:iCs/>
          <w:kern w:val="0"/>
          <w:sz w:val="26"/>
          <w:szCs w:val="26"/>
        </w:rPr>
        <w:t>有下列情形之一的，责令改正，对负有责任的领导人员和直接责任人员依法给予处分：</w:t>
      </w:r>
    </w:p>
    <w:p>
      <w:pPr>
        <w:pStyle w:val="6"/>
        <w:spacing w:line="400" w:lineRule="exact"/>
        <w:ind w:firstLine="520" w:firstLineChars="200"/>
        <w:jc w:val="left"/>
        <w:rPr>
          <w:bCs/>
          <w:iCs/>
          <w:kern w:val="0"/>
          <w:sz w:val="26"/>
          <w:szCs w:val="26"/>
        </w:rPr>
      </w:pPr>
      <w:r>
        <w:rPr>
          <w:rFonts w:hint="eastAsia"/>
          <w:bCs/>
          <w:iCs/>
          <w:kern w:val="0"/>
          <w:sz w:val="26"/>
          <w:szCs w:val="26"/>
        </w:rPr>
        <w:t>（一）超越审批权限审批办公用房项目；</w:t>
      </w:r>
    </w:p>
    <w:p>
      <w:pPr>
        <w:pStyle w:val="6"/>
        <w:spacing w:line="400" w:lineRule="exact"/>
        <w:ind w:firstLine="520" w:firstLineChars="200"/>
        <w:jc w:val="left"/>
        <w:rPr>
          <w:bCs/>
          <w:iCs/>
          <w:kern w:val="0"/>
          <w:sz w:val="26"/>
          <w:szCs w:val="26"/>
        </w:rPr>
      </w:pPr>
      <w:r>
        <w:rPr>
          <w:rFonts w:hint="eastAsia"/>
          <w:bCs/>
          <w:iCs/>
          <w:kern w:val="0"/>
          <w:sz w:val="26"/>
          <w:szCs w:val="26"/>
        </w:rPr>
        <w:t>（二）对不符合规定的办公用房项目予以批准；</w:t>
      </w:r>
    </w:p>
    <w:p>
      <w:pPr>
        <w:pStyle w:val="6"/>
        <w:spacing w:line="400" w:lineRule="exact"/>
        <w:ind w:firstLine="520" w:firstLineChars="200"/>
        <w:jc w:val="left"/>
        <w:rPr>
          <w:bCs/>
          <w:iCs/>
          <w:kern w:val="0"/>
          <w:sz w:val="26"/>
          <w:szCs w:val="26"/>
        </w:rPr>
      </w:pPr>
      <w:r>
        <w:rPr>
          <w:rFonts w:hint="eastAsia"/>
          <w:bCs/>
          <w:iCs/>
          <w:kern w:val="0"/>
          <w:sz w:val="26"/>
          <w:szCs w:val="26"/>
        </w:rPr>
        <w:t>（三）对未经批准的办公用房项目办理规划、用地、施工等相关手续，或者安排预算、拨付资金；</w:t>
      </w:r>
    </w:p>
    <w:p>
      <w:pPr>
        <w:pStyle w:val="6"/>
        <w:spacing w:line="400" w:lineRule="exact"/>
        <w:ind w:firstLine="520" w:firstLineChars="200"/>
        <w:jc w:val="left"/>
        <w:rPr>
          <w:bCs/>
          <w:iCs/>
          <w:kern w:val="0"/>
          <w:sz w:val="26"/>
          <w:szCs w:val="26"/>
        </w:rPr>
      </w:pPr>
      <w:r>
        <w:rPr>
          <w:rFonts w:hint="eastAsia"/>
          <w:bCs/>
          <w:iCs/>
          <w:kern w:val="0"/>
          <w:sz w:val="26"/>
          <w:szCs w:val="26"/>
        </w:rPr>
        <w:t>（四）其他滥用职权、玩忽职守、徇私舞弊的情形。</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第二十三条</w:t>
      </w:r>
      <w:r>
        <w:rPr>
          <w:rFonts w:hint="eastAsia"/>
          <w:bCs/>
          <w:iCs/>
          <w:kern w:val="0"/>
          <w:sz w:val="26"/>
          <w:szCs w:val="26"/>
        </w:rPr>
        <w:t xml:space="preserve"> 建设单位未按照规定将办公用房项目审批和实施过程中的有关文件、资料存档备查，或者转移、隐匿、篡改、毁弃有关文件、资料的，责令改正，对负有责任的领导人员和 直接责任人员依法给予处分。</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第二十四条</w:t>
      </w:r>
      <w:r>
        <w:rPr>
          <w:rFonts w:hint="eastAsia"/>
          <w:bCs/>
          <w:iCs/>
          <w:kern w:val="0"/>
          <w:sz w:val="26"/>
          <w:szCs w:val="26"/>
        </w:rPr>
        <w:t xml:space="preserve"> 本条例第二十一条至第二十三条规定的处分，由监察机关或者其他有关机关按照管理权限实施，其他处理措施由审批机关实施。</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第二十五条</w:t>
      </w:r>
      <w:r>
        <w:rPr>
          <w:rFonts w:hint="eastAsia"/>
          <w:bCs/>
          <w:iCs/>
          <w:kern w:val="0"/>
          <w:sz w:val="26"/>
          <w:szCs w:val="26"/>
        </w:rPr>
        <w:t xml:space="preserve"> 违反本条例规定，构成犯罪的，依法追究刑事责任。</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附</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则</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第二十六条</w:t>
      </w:r>
      <w:r>
        <w:rPr>
          <w:rFonts w:hint="eastAsia"/>
          <w:bCs/>
          <w:iCs/>
          <w:kern w:val="0"/>
          <w:sz w:val="26"/>
          <w:szCs w:val="26"/>
        </w:rPr>
        <w:t xml:space="preserve"> 本条例所称团体，是指工会、共青团、妇联等人民团体。</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第二十七条</w:t>
      </w:r>
      <w:r>
        <w:rPr>
          <w:rFonts w:hint="eastAsia"/>
          <w:bCs/>
          <w:iCs/>
          <w:kern w:val="0"/>
          <w:sz w:val="26"/>
          <w:szCs w:val="26"/>
        </w:rPr>
        <w:t xml:space="preserve"> 财政给予经费保障的事业单位和人民团体以外的其他团体建设楼堂馆所，参照适用本条例。</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第二十八条</w:t>
      </w:r>
      <w:r>
        <w:rPr>
          <w:rFonts w:hint="eastAsia"/>
          <w:bCs/>
          <w:iCs/>
          <w:kern w:val="0"/>
          <w:sz w:val="26"/>
          <w:szCs w:val="26"/>
        </w:rPr>
        <w:t xml:space="preserve"> 机关、人民团体、财政给予经费保障的事业单位和其他团体维修办公用房，应当严格履行审批程序，执行维修标准。禁止进行超标准装修或者配置超标准的设施。</w:t>
      </w:r>
    </w:p>
    <w:p>
      <w:pPr>
        <w:pStyle w:val="6"/>
        <w:spacing w:line="400" w:lineRule="exact"/>
        <w:ind w:firstLine="520" w:firstLineChars="200"/>
        <w:jc w:val="left"/>
        <w:rPr>
          <w:bCs/>
          <w:iCs/>
          <w:kern w:val="0"/>
          <w:sz w:val="26"/>
          <w:szCs w:val="26"/>
        </w:rPr>
      </w:pPr>
      <w:r>
        <w:rPr>
          <w:rFonts w:hint="eastAsia"/>
          <w:bCs/>
          <w:iCs/>
          <w:kern w:val="0"/>
          <w:sz w:val="26"/>
          <w:szCs w:val="26"/>
        </w:rPr>
        <w:t>违反前款规定的，根据具体情况责令停止维修活动或者改正，对负有责任的领导人员和直接责任人员依法给予处分。</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第二十九条</w:t>
      </w:r>
      <w:r>
        <w:rPr>
          <w:rFonts w:hint="eastAsia"/>
          <w:bCs/>
          <w:iCs/>
          <w:kern w:val="0"/>
          <w:sz w:val="26"/>
          <w:szCs w:val="26"/>
        </w:rPr>
        <w:t xml:space="preserve"> 财政给予经费补助的事业单位和人民团体以外的其他团体建设、维修楼堂馆所的管理办法，由国务院发展改革部门会同国务院财政部门、住房城乡建设部门等有关部门以及有关机关事务管理部门按照确有必要、严格控制的原则制定。</w:t>
      </w:r>
    </w:p>
    <w:p>
      <w:pPr>
        <w:pStyle w:val="6"/>
        <w:spacing w:line="400" w:lineRule="exact"/>
        <w:ind w:firstLine="520" w:firstLineChars="200"/>
        <w:jc w:val="left"/>
        <w:rPr>
          <w:bCs/>
          <w:iCs/>
          <w:kern w:val="0"/>
          <w:sz w:val="26"/>
          <w:szCs w:val="26"/>
        </w:rPr>
      </w:pPr>
      <w:r>
        <w:rPr>
          <w:rFonts w:hint="eastAsia"/>
          <w:bCs/>
          <w:iCs/>
          <w:kern w:val="0"/>
          <w:sz w:val="26"/>
          <w:szCs w:val="26"/>
        </w:rPr>
        <w:t>国有企业建设、维修楼堂馆所的管理办法，由国务院发展改革部门会同国务院国有资产监督管理机构、财政部门、住房城乡建设部门等有关部门，按照前款规定的原则制定。</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第三十条</w:t>
      </w:r>
      <w:r>
        <w:rPr>
          <w:rFonts w:hint="eastAsia"/>
          <w:bCs/>
          <w:iCs/>
          <w:kern w:val="0"/>
          <w:sz w:val="26"/>
          <w:szCs w:val="26"/>
        </w:rPr>
        <w:t xml:space="preserve"> 军队单位建设、维修楼堂馆所，按照军队的有关规定执行。</w:t>
      </w:r>
    </w:p>
    <w:p>
      <w:pPr>
        <w:pStyle w:val="6"/>
        <w:spacing w:line="400" w:lineRule="exact"/>
        <w:ind w:firstLine="520" w:firstLineChars="200"/>
        <w:jc w:val="left"/>
        <w:rPr>
          <w:bCs/>
          <w:iCs/>
          <w:kern w:val="0"/>
          <w:sz w:val="26"/>
          <w:szCs w:val="26"/>
        </w:rPr>
      </w:pPr>
      <w:r>
        <w:rPr>
          <w:rFonts w:hint="eastAsia" w:ascii="楷体" w:hAnsi="楷体" w:eastAsia="楷体" w:cs="楷体"/>
          <w:kern w:val="0"/>
          <w:sz w:val="26"/>
          <w:szCs w:val="26"/>
        </w:rPr>
        <w:t>第三十一条</w:t>
      </w:r>
      <w:r>
        <w:rPr>
          <w:rFonts w:hint="eastAsia"/>
          <w:bCs/>
          <w:iCs/>
          <w:kern w:val="0"/>
          <w:sz w:val="26"/>
          <w:szCs w:val="26"/>
        </w:rPr>
        <w:t xml:space="preserve"> 本条例自 2017 年 12 月 1 日起施行。国务院1988 年 9 月 22 日发布施行的《楼堂馆所建设管理暂行条例》同时废止。</w:t>
      </w:r>
    </w:p>
    <w:p>
      <w:pPr>
        <w:pStyle w:val="6"/>
        <w:spacing w:line="400" w:lineRule="exact"/>
        <w:ind w:firstLine="520" w:firstLineChars="200"/>
        <w:jc w:val="left"/>
        <w:rPr>
          <w:bCs/>
          <w:iCs/>
          <w:sz w:val="26"/>
          <w:szCs w:val="26"/>
        </w:rPr>
        <w:sectPr>
          <w:pgSz w:w="11900" w:h="16838"/>
          <w:pgMar w:top="1417" w:right="1701" w:bottom="1417" w:left="1701" w:header="850" w:footer="850" w:gutter="0"/>
          <w:cols w:space="720" w:num="1"/>
          <w:docGrid w:type="lines" w:linePitch="366" w:charSpace="0"/>
        </w:sectPr>
      </w:pPr>
    </w:p>
    <w:p>
      <w:pPr>
        <w:spacing w:line="400" w:lineRule="exact"/>
        <w:ind w:firstLine="520" w:firstLineChars="200"/>
        <w:jc w:val="left"/>
        <w:rPr>
          <w:rFonts w:ascii="方正仿宋简体" w:hAnsi="方正仿宋简体" w:eastAsia="方正仿宋简体" w:cs="方正仿宋简体"/>
          <w:sz w:val="26"/>
          <w:szCs w:val="26"/>
        </w:rPr>
      </w:pPr>
    </w:p>
    <w:p>
      <w:pPr>
        <w:widowControl/>
        <w:spacing w:line="400" w:lineRule="exact"/>
        <w:jc w:val="center"/>
        <w:rPr>
          <w:rFonts w:ascii="方正小标宋简体" w:hAnsi="宋体" w:eastAsia="方正小标宋简体" w:cs="宋体"/>
          <w:b/>
          <w:bCs/>
          <w:color w:val="000000"/>
          <w:sz w:val="32"/>
          <w:szCs w:val="32"/>
        </w:rPr>
      </w:pPr>
      <w:r>
        <w:rPr>
          <w:rFonts w:hint="eastAsia" w:ascii="方正小标宋简体" w:hAnsi="宋体" w:eastAsia="方正小标宋简体" w:cs="宋体"/>
          <w:b/>
          <w:bCs/>
          <w:color w:val="000000"/>
          <w:sz w:val="32"/>
          <w:szCs w:val="32"/>
        </w:rPr>
        <w:t>中华人民共和国国务院令第729号</w:t>
      </w:r>
    </w:p>
    <w:p>
      <w:pPr>
        <w:widowControl/>
        <w:spacing w:line="400" w:lineRule="exact"/>
        <w:jc w:val="center"/>
        <w:rPr>
          <w:rFonts w:ascii="方正小标宋简体" w:hAnsi="宋体" w:eastAsia="方正小标宋简体" w:cs="宋体"/>
          <w:b/>
          <w:bCs/>
          <w:color w:val="000000"/>
          <w:sz w:val="32"/>
          <w:szCs w:val="32"/>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现公布修订后的《中华人民共和国预算法实施条例》，自2020年10月1日起施行。</w:t>
      </w:r>
    </w:p>
    <w:p>
      <w:pPr>
        <w:widowControl/>
        <w:shd w:val="clear" w:color="auto" w:fill="FFFFFF"/>
        <w:spacing w:line="400" w:lineRule="exact"/>
        <w:ind w:firstLine="4420" w:firstLineChars="17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 xml:space="preserve"> 总 理 李克强</w:t>
      </w:r>
    </w:p>
    <w:p>
      <w:pPr>
        <w:widowControl/>
        <w:shd w:val="clear" w:color="auto" w:fill="FFFFFF"/>
        <w:spacing w:line="400" w:lineRule="exact"/>
        <w:ind w:firstLine="4290" w:firstLineChars="165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 xml:space="preserve"> 2020年8月3日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pacing w:line="400" w:lineRule="exact"/>
        <w:jc w:val="center"/>
        <w:rPr>
          <w:rFonts w:ascii="方正小标宋简体" w:hAnsi="宋体" w:eastAsia="方正小标宋简体" w:cs="宋体"/>
          <w:b/>
          <w:bCs/>
          <w:color w:val="000000"/>
          <w:sz w:val="32"/>
          <w:szCs w:val="32"/>
        </w:rPr>
      </w:pPr>
      <w:r>
        <w:rPr>
          <w:rFonts w:hint="eastAsia" w:ascii="方正小标宋简体" w:hAnsi="宋体" w:eastAsia="方正小标宋简体" w:cs="宋体"/>
          <w:b/>
          <w:bCs/>
          <w:color w:val="000000"/>
          <w:sz w:val="32"/>
          <w:szCs w:val="32"/>
        </w:rPr>
        <w:t>中华人民共和国预算法实施条例</w:t>
      </w:r>
    </w:p>
    <w:p>
      <w:pPr>
        <w:widowControl/>
        <w:spacing w:line="400" w:lineRule="exact"/>
        <w:jc w:val="center"/>
        <w:rPr>
          <w:rFonts w:ascii="方正小标宋简体" w:hAnsi="宋体" w:eastAsia="方正小标宋简体" w:cs="宋体"/>
          <w:b/>
          <w:bCs/>
          <w:color w:val="000000"/>
          <w:sz w:val="32"/>
          <w:szCs w:val="32"/>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（1995年11月22日中华人民共和国国务院令第186号发布</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2020年8月3日中华人民共和国国务院令第729号修订）</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第一条</w:t>
      </w:r>
      <w:r>
        <w:rPr>
          <w:rFonts w:hint="eastAsia" w:ascii="方正仿宋简体" w:hAnsi="方正仿宋简体" w:eastAsia="方正仿宋简体" w:cs="方正仿宋简体"/>
          <w:color w:val="333333"/>
          <w:kern w:val="0"/>
          <w:sz w:val="26"/>
          <w:szCs w:val="26"/>
        </w:rPr>
        <w:t xml:space="preserve"> 根据《中华人民共和国预算法》（以下简称预算法），制定本条例。</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第二条</w:t>
      </w:r>
      <w:r>
        <w:rPr>
          <w:rFonts w:hint="eastAsia" w:ascii="方正仿宋简体" w:hAnsi="方正仿宋简体" w:eastAsia="方正仿宋简体" w:cs="方正仿宋简体"/>
          <w:color w:val="333333"/>
          <w:kern w:val="0"/>
          <w:sz w:val="26"/>
          <w:szCs w:val="26"/>
        </w:rPr>
        <w:t xml:space="preserve"> 县级以上地方政府的派出机关根据本级政府授权进行预算管理活动，不作为一级预算，其收支纳入本级预算。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第三条</w:t>
      </w:r>
      <w:r>
        <w:rPr>
          <w:rFonts w:hint="eastAsia" w:ascii="方正仿宋简体" w:hAnsi="方正仿宋简体" w:eastAsia="方正仿宋简体" w:cs="方正仿宋简体"/>
          <w:color w:val="333333"/>
          <w:kern w:val="0"/>
          <w:sz w:val="26"/>
          <w:szCs w:val="26"/>
        </w:rPr>
        <w:t xml:space="preserve"> 社会保险基金预算应当在精算平衡的基础上实现可持续运行，一般公共预算可以根据需要和财力适当安排资金补充社会保险基金预算。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第四条</w:t>
      </w:r>
      <w:r>
        <w:rPr>
          <w:rFonts w:hint="eastAsia" w:ascii="方正仿宋简体" w:hAnsi="方正仿宋简体" w:eastAsia="方正仿宋简体" w:cs="方正仿宋简体"/>
          <w:color w:val="333333"/>
          <w:kern w:val="0"/>
          <w:sz w:val="26"/>
          <w:szCs w:val="26"/>
        </w:rPr>
        <w:t xml:space="preserve"> 预算法第六条第二款所称各部门，是指与本级政府财政部门直接发生预算缴拨款关系的国家机关、军队、政党组织、事业单位、社会团体和其他单位。</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第五条</w:t>
      </w:r>
      <w:r>
        <w:rPr>
          <w:rFonts w:hint="eastAsia" w:ascii="方正仿宋简体" w:hAnsi="方正仿宋简体" w:eastAsia="方正仿宋简体" w:cs="方正仿宋简体"/>
          <w:color w:val="333333"/>
          <w:kern w:val="0"/>
          <w:sz w:val="26"/>
          <w:szCs w:val="26"/>
        </w:rPr>
        <w:t xml:space="preserve"> 各部门预算应当反映一般公共预算、政府性基金预算、国有资本经营预算安排给本部门及其所属各单位的所有预算资金。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各部门预算收入包括本级财政安排给本部门及其所属各单位的预算拨款收入和其他收入。各部门预算支出为与部门预算收入相对应的支出，包括基本支出和项目支出。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本条第二款所称基本支出，是指各部门、各单位为保障其机构正常运转、完成日常工作任务所发生的支出，包括人员经费和公用经费；所称项目支出，是指各部门、各单位为完成其特定的工作任务和事业发展目标所发生的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各部门及其所属各单位的本级预算拨款收入和其相对应的支出，应当在部门预算中单独反映。</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部门预算编制、执行的具体办法，由本级政府财政部门依法作出规定。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第六条</w:t>
      </w:r>
      <w:r>
        <w:rPr>
          <w:rFonts w:hint="eastAsia" w:ascii="方正仿宋简体" w:hAnsi="方正仿宋简体" w:eastAsia="方正仿宋简体" w:cs="方正仿宋简体"/>
          <w:color w:val="333333"/>
          <w:kern w:val="0"/>
          <w:sz w:val="26"/>
          <w:szCs w:val="26"/>
        </w:rPr>
        <w:t xml:space="preserve"> 一般性转移支付向社会公开应当细化到地区。专项转移支付向社会公开应当细化到地区和项目。</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政府债务、机关运行经费、政府采购、财政专户资金等情况，按照有关规定向社会公开。</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部门预算、决算应当公开基本支出和项目支出。部门预算、决算支出按其功能分类应当公开到项；按其经济性质分类，基本支出应当公开到款。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所属单位的预算、决算及报表，应当在部门批复后20日内由单位向社会公开。单位预算、决算应当公开基本支出和项目支出。单位预算、决算支出按其功能分类应当公开到项；按其经济性质分类，基本支出应当公开到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第七条</w:t>
      </w:r>
      <w:r>
        <w:rPr>
          <w:rFonts w:hint="eastAsia" w:ascii="方正仿宋简体" w:hAnsi="方正仿宋简体" w:eastAsia="方正仿宋简体" w:cs="方正仿宋简体"/>
          <w:color w:val="333333"/>
          <w:kern w:val="0"/>
          <w:sz w:val="26"/>
          <w:szCs w:val="26"/>
        </w:rPr>
        <w:t xml:space="preserve"> 预算法第十五条所称中央和地方分税制，是指在划分中央与地方事权的基础上，确定中央与地方财政支出范围，并按税种划分中央与地方预算收入的财政管理体制。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分税制财政管理体制的具体内容和实施办法，按照国务院的有关规定执行。</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第八条</w:t>
      </w:r>
      <w:r>
        <w:rPr>
          <w:rFonts w:hint="eastAsia" w:ascii="方正仿宋简体" w:hAnsi="方正仿宋简体" w:eastAsia="方正仿宋简体" w:cs="方正仿宋简体"/>
          <w:color w:val="333333"/>
          <w:kern w:val="0"/>
          <w:sz w:val="26"/>
          <w:szCs w:val="26"/>
        </w:rPr>
        <w:t xml:space="preserve"> 县级以上地方各级政府应当根据中央和地方分税制的原则和上级政府的有关规定，确定本级政府对下级政府的财政管理体制。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第九条</w:t>
      </w:r>
      <w:r>
        <w:rPr>
          <w:rFonts w:hint="eastAsia" w:ascii="方正仿宋简体" w:hAnsi="方正仿宋简体" w:eastAsia="方正仿宋简体" w:cs="方正仿宋简体"/>
          <w:color w:val="333333"/>
          <w:kern w:val="0"/>
          <w:sz w:val="26"/>
          <w:szCs w:val="26"/>
        </w:rPr>
        <w:t xml:space="preserve"> 预算法第十六条第二款所称一般性转移支付，包括：</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（一）均衡性转移支付；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（二）对革命老区、民族地区、边疆地区、贫困地区的财力补助；</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（三）其他一般性转移支付。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第十条</w:t>
      </w:r>
      <w:r>
        <w:rPr>
          <w:rFonts w:hint="eastAsia" w:ascii="方正仿宋简体" w:hAnsi="方正仿宋简体" w:eastAsia="方正仿宋简体" w:cs="方正仿宋简体"/>
          <w:color w:val="333333"/>
          <w:kern w:val="0"/>
          <w:sz w:val="26"/>
          <w:szCs w:val="26"/>
        </w:rPr>
        <w:t xml:space="preserve"> 预算法第十六条第三款所称专项转移支付，是指上级政府为了实现特定的经济和社会发展目标给予下级政府，并由下级政府按照上级政府规定的用途安排使用的预算资金。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县级以上各级政府财政部门应当会同有关部门建立健全专项转移支付定期评估和退出机制。对评估后的专项转移支付，按照下列情形分别予以处理：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（一）符合法律、行政法规和国务院规定，有必要继续执行的，可以继续执行；</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（二）设立的有关要求变更，或者实际绩效与目标差距较大、管理不够完善的，应当予以调整；</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（三）设立依据失效或者废止的，应当予以取消。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第十一条</w:t>
      </w:r>
      <w:r>
        <w:rPr>
          <w:rFonts w:hint="eastAsia" w:ascii="方正仿宋简体" w:hAnsi="方正仿宋简体" w:eastAsia="方正仿宋简体" w:cs="方正仿宋简体"/>
          <w:color w:val="333333"/>
          <w:kern w:val="0"/>
          <w:sz w:val="26"/>
          <w:szCs w:val="26"/>
        </w:rPr>
        <w:t xml:space="preserve"> 预算收入和预算支出以人民币元为计算单位。预算收支以人民币以外的货币收纳和支付的，应当折合成人民币计算。</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预算收支范围</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第十二条</w:t>
      </w:r>
      <w:r>
        <w:rPr>
          <w:rFonts w:hint="eastAsia" w:ascii="方正仿宋简体" w:hAnsi="方正仿宋简体" w:eastAsia="方正仿宋简体" w:cs="方正仿宋简体"/>
          <w:color w:val="333333"/>
          <w:kern w:val="0"/>
          <w:sz w:val="26"/>
          <w:szCs w:val="26"/>
        </w:rPr>
        <w:t xml:space="preserve"> 预算法第二十七条第一款所称行政事业性收费收入，是指国家机关、事业单位等依照法律法规规定，按照国务院规定的程序批准，在实施社会公共管理以及在向公民、法人和其他组织提供特定公共服务过程中，按照规定标准向特定对象收取费用形成的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预算法第二十七条第一款所称国有资源（资产）有偿使用收入，是指矿藏、水流、海域、无居民海岛以及法律规定属于国家所有的森林、草原等国有资源有偿使用收入，按照规定纳入一般公共预算管理的国有资产收入等。</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预算法第二十七条第一款所称转移性收入，是指上级税收返还和转移支付、下级上解收入、调入资金以及按照财政部规定列入转移性收入的无隶属关系政府的无偿援助。</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第十三条</w:t>
      </w:r>
      <w:r>
        <w:rPr>
          <w:rFonts w:hint="eastAsia" w:ascii="方正仿宋简体" w:hAnsi="方正仿宋简体" w:eastAsia="方正仿宋简体" w:cs="方正仿宋简体"/>
          <w:color w:val="333333"/>
          <w:kern w:val="0"/>
          <w:sz w:val="26"/>
          <w:szCs w:val="26"/>
        </w:rPr>
        <w:t xml:space="preserve"> 转移性支出包括上解上级支出、对下级的税收返还和转移支付、调出资金以及按照财政部规定列入转移性支出的给予无隶属关系政府的无偿援助。</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第十四条</w:t>
      </w:r>
      <w:r>
        <w:rPr>
          <w:rFonts w:hint="eastAsia" w:ascii="方正仿宋简体" w:hAnsi="方正仿宋简体" w:eastAsia="方正仿宋简体" w:cs="方正仿宋简体"/>
          <w:color w:val="333333"/>
          <w:kern w:val="0"/>
          <w:sz w:val="26"/>
          <w:szCs w:val="26"/>
        </w:rPr>
        <w:t xml:space="preserve"> 政府性基金预算收入包括政府性基金各项目收入和转移性收入。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政府性基金预算支出包括与政府性基金预算收入相对应的各项目支出和转移性支出。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第十五条</w:t>
      </w:r>
      <w:r>
        <w:rPr>
          <w:rFonts w:hint="eastAsia" w:ascii="方正仿宋简体" w:hAnsi="方正仿宋简体" w:eastAsia="方正仿宋简体" w:cs="方正仿宋简体"/>
          <w:color w:val="333333"/>
          <w:kern w:val="0"/>
          <w:sz w:val="26"/>
          <w:szCs w:val="26"/>
        </w:rPr>
        <w:t xml:space="preserve"> 国有资本经营预算收入包括依照法律、行政法规和国务院规定应当纳入国有资本经营预算的国有独资企业和国有独资公司按照规定上缴国家的利润收入、从国有资本控股和参股公司获得的股息红利收入、国有产权转让收入、清算收入和其他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国有资本经营预算支出包括资本性支出、费用性支出、向一般公共预算调出资金等转移性支出和其他支出。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第十六条</w:t>
      </w:r>
      <w:r>
        <w:rPr>
          <w:rFonts w:hint="eastAsia" w:ascii="方正仿宋简体" w:hAnsi="方正仿宋简体" w:eastAsia="方正仿宋简体" w:cs="方正仿宋简体"/>
          <w:color w:val="333333"/>
          <w:kern w:val="0"/>
          <w:sz w:val="26"/>
          <w:szCs w:val="26"/>
        </w:rPr>
        <w:t xml:space="preserve"> 社会保险基金预算收入包括各项社会保险费收入、利息收入、投资收益、一般公共预算补助收入、集体补助收入、转移收入、上级补助收入、下级上解收入和其他收入。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社会保险基金预算支出包括各项社会保险待遇支出、转移支出、补助下级支出、上解上级支出和其他支出。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 xml:space="preserve">第十七条 </w:t>
      </w:r>
      <w:r>
        <w:rPr>
          <w:rFonts w:hint="eastAsia" w:ascii="方正仿宋简体" w:hAnsi="方正仿宋简体" w:eastAsia="方正仿宋简体" w:cs="方正仿宋简体"/>
          <w:color w:val="333333"/>
          <w:kern w:val="0"/>
          <w:sz w:val="26"/>
          <w:szCs w:val="26"/>
        </w:rPr>
        <w:t>地方各级预算上下级之间有关收入和支出项目的划分以及上解、返还或者转移支付的具体办法，由上级地方政府规定，报本级人民代表大会常务委员会备案。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第十八条</w:t>
      </w:r>
      <w:r>
        <w:rPr>
          <w:rFonts w:hint="eastAsia" w:ascii="方正仿宋简体" w:hAnsi="方正仿宋简体" w:eastAsia="方正仿宋简体" w:cs="方正仿宋简体"/>
          <w:color w:val="333333"/>
          <w:kern w:val="0"/>
          <w:sz w:val="26"/>
          <w:szCs w:val="26"/>
        </w:rPr>
        <w:t xml:space="preserve"> 地方各级社会保险基金预算上下级之间有关收入和支出项目的划分以及上解、补助的具体办法，按照统筹层次由上级地方政府规定，报本级人民代表大会常务委员会备案。</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预算编制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第十九条</w:t>
      </w:r>
      <w:r>
        <w:rPr>
          <w:rFonts w:hint="eastAsia" w:ascii="方正仿宋简体" w:hAnsi="方正仿宋简体" w:eastAsia="方正仿宋简体" w:cs="方正仿宋简体"/>
          <w:color w:val="333333"/>
          <w:kern w:val="0"/>
          <w:sz w:val="26"/>
          <w:szCs w:val="26"/>
        </w:rPr>
        <w:t xml:space="preserve"> 预算法第三十一条所称预算草案，是指各级政府、各部门、各单位编制的未经法定程序审查和批准的预算。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第二十条</w:t>
      </w:r>
      <w:r>
        <w:rPr>
          <w:rFonts w:hint="eastAsia" w:ascii="方正仿宋简体" w:hAnsi="方正仿宋简体" w:eastAsia="方正仿宋简体" w:cs="方正仿宋简体"/>
          <w:color w:val="333333"/>
          <w:kern w:val="0"/>
          <w:sz w:val="26"/>
          <w:szCs w:val="26"/>
        </w:rPr>
        <w:t xml:space="preserve"> 预算法第三十二条第一款所称绩效评价，是指根据设定的绩效目标，依据规范的程序，对预算资金的投入、使用过程、产出与效果进行系统和客观的评价。</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绩效评价结果应当按照规定作为改进管理和编制以后年度预算的依据。</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第二十一条</w:t>
      </w:r>
      <w:r>
        <w:rPr>
          <w:rFonts w:hint="eastAsia" w:ascii="方正仿宋简体" w:hAnsi="方正仿宋简体" w:eastAsia="方正仿宋简体" w:cs="方正仿宋简体"/>
          <w:color w:val="333333"/>
          <w:kern w:val="0"/>
          <w:sz w:val="26"/>
          <w:szCs w:val="26"/>
        </w:rPr>
        <w:t xml:space="preserve"> 预算法第三十二条第三款所称预算支出标准，是指对预算事项合理分类并分别规定的支出预算编制标准，包括基本支出标准和项目支出标准。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地方各级政府财政部门应当根据财政部制定的预算支出标准，结合本地区经济社会发展水平、财力状况等，制定本地区或者本级的预算支出标准。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第二十二条</w:t>
      </w:r>
      <w:r>
        <w:rPr>
          <w:rFonts w:hint="eastAsia" w:ascii="方正仿宋简体" w:hAnsi="方正仿宋简体" w:eastAsia="方正仿宋简体" w:cs="方正仿宋简体"/>
          <w:color w:val="333333"/>
          <w:kern w:val="0"/>
          <w:sz w:val="26"/>
          <w:szCs w:val="26"/>
        </w:rPr>
        <w:t xml:space="preserve"> 财政部于每年6月15日前部署编制下一年度预算草案的具体事项，规定报表格式、编报方法、报送期限等。</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第二十三条</w:t>
      </w:r>
      <w:r>
        <w:rPr>
          <w:rFonts w:hint="eastAsia" w:ascii="方正仿宋简体" w:hAnsi="方正仿宋简体" w:eastAsia="方正仿宋简体" w:cs="方正仿宋简体"/>
          <w:color w:val="333333"/>
          <w:kern w:val="0"/>
          <w:sz w:val="26"/>
          <w:szCs w:val="26"/>
        </w:rPr>
        <w:t xml:space="preserve"> 中央各部门应当按照国务院的要求和财政部的部署，结合本部门的具体情况，组织编制本部门及其所属各单位的预算草案。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中央各部门负责本部门所属各单位预算草案的审核，并汇总编制本部门的预算草案，按照规定报财政部审核。</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第二十四条</w:t>
      </w:r>
      <w:r>
        <w:rPr>
          <w:rFonts w:hint="eastAsia" w:ascii="方正仿宋简体" w:hAnsi="方正仿宋简体" w:eastAsia="方正仿宋简体" w:cs="方正仿宋简体"/>
          <w:color w:val="333333"/>
          <w:kern w:val="0"/>
          <w:sz w:val="26"/>
          <w:szCs w:val="26"/>
        </w:rPr>
        <w:t xml:space="preserve"> 财政部审核中央各部门的预算草案，具体编制中央预算草案；汇总地方预算草案或者地方预算，汇编中央和地方预算草案。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第二十五条</w:t>
      </w:r>
      <w:r>
        <w:rPr>
          <w:rFonts w:hint="eastAsia" w:ascii="方正仿宋简体" w:hAnsi="方正仿宋简体" w:eastAsia="方正仿宋简体" w:cs="方正仿宋简体"/>
          <w:color w:val="333333"/>
          <w:kern w:val="0"/>
          <w:sz w:val="26"/>
          <w:szCs w:val="26"/>
        </w:rPr>
        <w:t xml:space="preserve"> 省、自治区、直辖市政府按照国务院的要求和财政部的部署，结合本地区的具体情况，提出本行政区域编制预算草案的要求。</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县级以上地方各级政府财政部门应当于每年6月30日前部署本行政区域编制下一年度预算草案的具体事项，规定有关报表格式、编报方法、报送期限等。</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第二十六条</w:t>
      </w:r>
      <w:r>
        <w:rPr>
          <w:rFonts w:hint="eastAsia" w:ascii="方正仿宋简体" w:hAnsi="方正仿宋简体" w:eastAsia="方正仿宋简体" w:cs="方正仿宋简体"/>
          <w:color w:val="333333"/>
          <w:kern w:val="0"/>
          <w:sz w:val="26"/>
          <w:szCs w:val="26"/>
        </w:rPr>
        <w:t xml:space="preserve"> 县级以上地方各级政府各部门应当根据本级政府的要求和本级政府财政部门的部署，结合本部门的具体情况，组织编制本部门及其所属各单位的预算草案，按照规定报本级政府财政部门审核。</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第二十七条</w:t>
      </w:r>
      <w:r>
        <w:rPr>
          <w:rFonts w:hint="eastAsia" w:ascii="方正仿宋简体" w:hAnsi="方正仿宋简体" w:eastAsia="方正仿宋简体" w:cs="方正仿宋简体"/>
          <w:color w:val="333333"/>
          <w:kern w:val="0"/>
          <w:sz w:val="26"/>
          <w:szCs w:val="26"/>
        </w:rPr>
        <w:t xml:space="preserve"> 县级以上地方各级政府财政部门审核本级各部门的预算草案，具体编制本级预算草案，汇编本级总预算草案，经本级政府审定后，按照规定期限报上一级政府财政部门。</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省、自治区、直辖市政府财政部门汇总的本级总预算草案或者本级总预算，应当于下一年度1月10日前报财政部。</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第二十八条</w:t>
      </w:r>
      <w:r>
        <w:rPr>
          <w:rFonts w:hint="eastAsia" w:ascii="方正仿宋简体" w:hAnsi="方正仿宋简体" w:eastAsia="方正仿宋简体" w:cs="方正仿宋简体"/>
          <w:color w:val="333333"/>
          <w:kern w:val="0"/>
          <w:sz w:val="26"/>
          <w:szCs w:val="26"/>
        </w:rPr>
        <w:t xml:space="preserve"> 县级以上各级政府财政部门审核本级各部门的预算草案时，发现不符合编制预算要求的，应当予以纠正；汇编本级总预算草案时，发现下级预算草案不符合上级政府或者本级政府编制预算要求的，应当及时向本级政府报告，由本级政府予以纠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第二十九条</w:t>
      </w:r>
      <w:r>
        <w:rPr>
          <w:rFonts w:hint="eastAsia" w:ascii="方正仿宋简体" w:hAnsi="方正仿宋简体" w:eastAsia="方正仿宋简体" w:cs="方正仿宋简体"/>
          <w:color w:val="333333"/>
          <w:kern w:val="0"/>
          <w:sz w:val="26"/>
          <w:szCs w:val="26"/>
        </w:rPr>
        <w:t xml:space="preserve"> 各级政府财政部门编制收入预算草案时，应当征求税务、海关等预算收入征收部门和单位的意见。</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预算收入征收部门和单位应当按照财政部门的要求提供下一年度预算收入征收预测情况。</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第三十条</w:t>
      </w:r>
      <w:r>
        <w:rPr>
          <w:rFonts w:hint="eastAsia" w:ascii="方正仿宋简体" w:hAnsi="方正仿宋简体" w:eastAsia="方正仿宋简体" w:cs="方正仿宋简体"/>
          <w:color w:val="333333"/>
          <w:kern w:val="0"/>
          <w:sz w:val="26"/>
          <w:szCs w:val="26"/>
        </w:rPr>
        <w:t xml:space="preserve"> 财政部门会同社会保险行政部门部署编制下一年度社会保险基金预算草案的具体事项。</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社会保险经办机构具体编制下一年度社会保险基金预算草案，报本级社会保险行政部门审核汇总。社会保险基金收入预算草案由社会保险经办机构会同社会保险费征收机构具体编制。财政部门负责审核并汇总编制社会保险基金预算草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第三十一条</w:t>
      </w:r>
      <w:r>
        <w:rPr>
          <w:rFonts w:hint="eastAsia" w:ascii="方正仿宋简体" w:hAnsi="方正仿宋简体" w:eastAsia="方正仿宋简体" w:cs="方正仿宋简体"/>
          <w:color w:val="333333"/>
          <w:kern w:val="0"/>
          <w:sz w:val="26"/>
          <w:szCs w:val="26"/>
        </w:rPr>
        <w:t xml:space="preserve"> 各级政府财政部门应当依照预算法和本条例规定，制定本级预算草案编制规程。</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第三十二条</w:t>
      </w:r>
      <w:r>
        <w:rPr>
          <w:rFonts w:hint="eastAsia" w:ascii="方正仿宋简体" w:hAnsi="方正仿宋简体" w:eastAsia="方正仿宋简体" w:cs="方正仿宋简体"/>
          <w:color w:val="333333"/>
          <w:kern w:val="0"/>
          <w:sz w:val="26"/>
          <w:szCs w:val="26"/>
        </w:rPr>
        <w:t xml:space="preserve"> 各部门、各单位在编制预算草案时，应当根据资产配置标准，结合存量资产情况编制相关支出预算。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第三十三条</w:t>
      </w:r>
      <w:r>
        <w:rPr>
          <w:rFonts w:hint="eastAsia" w:ascii="方正仿宋简体" w:hAnsi="方正仿宋简体" w:eastAsia="方正仿宋简体" w:cs="方正仿宋简体"/>
          <w:color w:val="333333"/>
          <w:kern w:val="0"/>
          <w:sz w:val="26"/>
          <w:szCs w:val="26"/>
        </w:rPr>
        <w:t xml:space="preserve"> 中央一般公共预算收入编制内容包括本级一般公共预算收入、从国有资本经营预算调入资金、地方上解收入、从预算稳定调节基金调入资金、其他调入资金。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中央一般公共预算支出编制内容包括本级一般公共预算支出、对地方的税收返还和转移支付、补充预算稳定调节基金。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中央政府债务余额的限额应当在本级预算中单独列示。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第三十四条</w:t>
      </w:r>
      <w:r>
        <w:rPr>
          <w:rFonts w:hint="eastAsia" w:ascii="方正仿宋简体" w:hAnsi="方正仿宋简体" w:eastAsia="方正仿宋简体" w:cs="方正仿宋简体"/>
          <w:color w:val="333333"/>
          <w:kern w:val="0"/>
          <w:sz w:val="26"/>
          <w:szCs w:val="26"/>
        </w:rPr>
        <w:t xml:space="preserve"> 地方各级一般公共预算收入编制内容包括本级一般公共预算收入、从国有资本经营预算调入资金、上级税收返还和转移支付、下级上解收入、从预算稳定调节基金调入资金、其他调入资金。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地方各级一般公共预算支出编制内容包括本级一般公共预算支出、上解上级支出、对下级的税收返还和转移支付、补充预算稳定调节基金。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第三十五条</w:t>
      </w:r>
      <w:r>
        <w:rPr>
          <w:rFonts w:hint="eastAsia" w:ascii="方正仿宋简体" w:hAnsi="方正仿宋简体" w:eastAsia="方正仿宋简体" w:cs="方正仿宋简体"/>
          <w:color w:val="333333"/>
          <w:kern w:val="0"/>
          <w:sz w:val="26"/>
          <w:szCs w:val="26"/>
        </w:rPr>
        <w:t xml:space="preserve"> 中央政府性基金预算收入编制内容包括本级政府性基金各项目收入、上一年度结余、地方上解收入。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中央政府性基金预算支出编制内容包括本级政府性基金各项目支出、对地方的转移支付、调出资金。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第三十六条</w:t>
      </w:r>
      <w:r>
        <w:rPr>
          <w:rFonts w:hint="eastAsia" w:ascii="方正仿宋简体" w:hAnsi="方正仿宋简体" w:eastAsia="方正仿宋简体" w:cs="方正仿宋简体"/>
          <w:color w:val="333333"/>
          <w:kern w:val="0"/>
          <w:sz w:val="26"/>
          <w:szCs w:val="26"/>
        </w:rPr>
        <w:t xml:space="preserve"> 地方政府性基金预算收入编制内容包括本级政府性基金各项目收入、上一年度结余、下级上解收入、上级转移支付。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地方政府性基金预算支出编制内容包括本级政府性基金各项目支出、上解上级支出、对下级的转移支付、调出资金。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第三十七条</w:t>
      </w:r>
      <w:r>
        <w:rPr>
          <w:rFonts w:hint="eastAsia" w:ascii="方正仿宋简体" w:hAnsi="方正仿宋简体" w:eastAsia="方正仿宋简体" w:cs="方正仿宋简体"/>
          <w:color w:val="333333"/>
          <w:kern w:val="0"/>
          <w:sz w:val="26"/>
          <w:szCs w:val="26"/>
        </w:rPr>
        <w:t xml:space="preserve"> 中央国有资本经营预算收入编制内容包括本级收入、上一年度结余、地方上解收入。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中央国有资本经营预算支出编制内容包括本级支出、向一般公共预算调出资金、对地方特定事项的转移支付。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第三十八条</w:t>
      </w:r>
      <w:r>
        <w:rPr>
          <w:rFonts w:hint="eastAsia" w:ascii="方正仿宋简体" w:hAnsi="方正仿宋简体" w:eastAsia="方正仿宋简体" w:cs="方正仿宋简体"/>
          <w:color w:val="333333"/>
          <w:kern w:val="0"/>
          <w:sz w:val="26"/>
          <w:szCs w:val="26"/>
        </w:rPr>
        <w:t xml:space="preserve"> 地方国有资本经营预算收入编制内容包括本级收入、上一年度结余、上级对特定事项的转移支付、下级上解收入。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地方国有资本经营预算支出编制内容包括本级支出、向一般公共预算调出资金、对下级特定事项的转移支付、上解上级支出。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第三十九条</w:t>
      </w:r>
      <w:r>
        <w:rPr>
          <w:rFonts w:hint="eastAsia" w:ascii="方正仿宋简体" w:hAnsi="方正仿宋简体" w:eastAsia="方正仿宋简体" w:cs="方正仿宋简体"/>
          <w:color w:val="333333"/>
          <w:kern w:val="0"/>
          <w:sz w:val="26"/>
          <w:szCs w:val="26"/>
        </w:rPr>
        <w:t xml:space="preserve"> 中央和地方社会保险基金预算收入、支出编制内容包括本条例第十六条规定的各项收入和支出。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第四十条</w:t>
      </w:r>
      <w:r>
        <w:rPr>
          <w:rFonts w:hint="eastAsia" w:ascii="方正仿宋简体" w:hAnsi="方正仿宋简体" w:eastAsia="方正仿宋简体" w:cs="方正仿宋简体"/>
          <w:color w:val="333333"/>
          <w:kern w:val="0"/>
          <w:sz w:val="26"/>
          <w:szCs w:val="26"/>
        </w:rPr>
        <w:t xml:space="preserve"> 各部门、各单位预算收入编制内容包括本级预算拨款收入、预算拨款结转和其他收入。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各部门、各单位预算支出编制内容包括基本支出和项目支出。</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各部门、各单位的预算支出，按其功能分类应当编列到项，按其经济性质分类应当编列到款。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第四十一条</w:t>
      </w:r>
      <w:r>
        <w:rPr>
          <w:rFonts w:hint="eastAsia" w:ascii="方正仿宋简体" w:hAnsi="方正仿宋简体" w:eastAsia="方正仿宋简体" w:cs="方正仿宋简体"/>
          <w:color w:val="333333"/>
          <w:kern w:val="0"/>
          <w:sz w:val="26"/>
          <w:szCs w:val="26"/>
        </w:rPr>
        <w:t xml:space="preserve"> 各级政府应当加强项目支出管理。各级政府财政部门应当建立和完善项目支出预算评审制度。各部门、各单位应当按照本级政府财政部门的规定开展预算评审。</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项目支出实行项目库管理，并建立健全项目入库评审机制和项目滚动管理机制。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第四十二条</w:t>
      </w:r>
      <w:r>
        <w:rPr>
          <w:rFonts w:hint="eastAsia" w:ascii="方正仿宋简体" w:hAnsi="方正仿宋简体" w:eastAsia="方正仿宋简体" w:cs="方正仿宋简体"/>
          <w:color w:val="333333"/>
          <w:kern w:val="0"/>
          <w:sz w:val="26"/>
          <w:szCs w:val="26"/>
        </w:rPr>
        <w:t xml:space="preserve"> 预算法第三十四条第二款所称余额管理，是指国务院在全国人民代表大会批准的中央一般公共预算债务的余额限额内，决定发债规模、品种、期限和时点的管理方式；所称余额，是指中央一般公共预算中举借债务未偿还的本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第四十三条</w:t>
      </w:r>
      <w:r>
        <w:rPr>
          <w:rFonts w:hint="eastAsia" w:ascii="方正仿宋简体" w:hAnsi="方正仿宋简体" w:eastAsia="方正仿宋简体" w:cs="方正仿宋简体"/>
          <w:color w:val="333333"/>
          <w:kern w:val="0"/>
          <w:sz w:val="26"/>
          <w:szCs w:val="26"/>
        </w:rPr>
        <w:t xml:space="preserve"> 地方政府债务余额实行限额管理。各省、自治区、直辖市的政府债务限额，由财政部在全国人民代表大会或者其常务委员会批准的总限额内，根据各地区债务风险、财力状况等因素，并考虑国家宏观调控政策等需要，提出方案报国务院批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各省、自治区、直辖市的政府债务余额不得突破国务院批准的限额。</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第四十四条</w:t>
      </w:r>
      <w:r>
        <w:rPr>
          <w:rFonts w:hint="eastAsia" w:ascii="方正仿宋简体" w:hAnsi="方正仿宋简体" w:eastAsia="方正仿宋简体" w:cs="方正仿宋简体"/>
          <w:color w:val="333333"/>
          <w:kern w:val="0"/>
          <w:sz w:val="26"/>
          <w:szCs w:val="26"/>
        </w:rPr>
        <w:t xml:space="preserve"> 预算法第三十五条第二款所称举借债务的规模，是指各地方政府债务余额限额的总和，包括一般债务限额和专项债务限额。一般债务是指列入一般公共预算用于公益性事业发展的一般债券、地方政府负有偿还责任的外国政府和国际经济组织贷款转贷债务；专项债务是指列入政府性基金预算用于有收益的公益性事业发展的专项债券。</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第四十五条</w:t>
      </w:r>
      <w:r>
        <w:rPr>
          <w:rFonts w:hint="eastAsia" w:ascii="方正仿宋简体" w:hAnsi="方正仿宋简体" w:eastAsia="方正仿宋简体" w:cs="方正仿宋简体"/>
          <w:color w:val="333333"/>
          <w:kern w:val="0"/>
          <w:sz w:val="26"/>
          <w:szCs w:val="26"/>
        </w:rPr>
        <w:t xml:space="preserve"> 省、自治区、直辖市政府财政部门依照国务院下达的本地区地方政府债务限额，提出本级和转贷给下级政府的债务限额安排方案，报本级政府批准后，将增加举借的债务列入本级预算调整方案，报本级人民代表大会常务委员会批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接受转贷并向下级政府转贷的政府应当将转贷债务纳入本级预算管理。使用转贷并负有直接偿还责任的政府，应当将转贷债务列入本级预算调整方案，报本级人民代表大会常务委员会批准。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地方各级政府财政部门负责统一管理本地区政府债务。</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第四十六条</w:t>
      </w:r>
      <w:r>
        <w:rPr>
          <w:rFonts w:hint="eastAsia" w:ascii="方正仿宋简体" w:hAnsi="方正仿宋简体" w:eastAsia="方正仿宋简体" w:cs="方正仿宋简体"/>
          <w:color w:val="333333"/>
          <w:kern w:val="0"/>
          <w:sz w:val="26"/>
          <w:szCs w:val="26"/>
        </w:rPr>
        <w:t xml:space="preserve"> 国务院可以将举借的外国政府和国际经济组织贷款转贷给省、自治区、直辖市政府。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国务院向省、自治区、直辖市政府转贷的外国政府和国际经济组织贷款，省、自治区、直辖市政府负有直接偿还责任的，应当纳入本级预算管理。省、自治区、直辖市政府未能按时履行还款义务的，国务院可以相应抵扣对该地区的税收返还等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省、自治区、直辖市政府可以将国务院转贷的外国政府和国际经济组织贷款再转贷给下级政府。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第四十七条</w:t>
      </w:r>
      <w:r>
        <w:rPr>
          <w:rFonts w:hint="eastAsia" w:ascii="方正仿宋简体" w:hAnsi="方正仿宋简体" w:eastAsia="方正仿宋简体" w:cs="方正仿宋简体"/>
          <w:color w:val="333333"/>
          <w:kern w:val="0"/>
          <w:sz w:val="26"/>
          <w:szCs w:val="26"/>
        </w:rPr>
        <w:t xml:space="preserve"> 财政部和省、自治区、直辖市政府财政部门应当建立健全地方政府债务风险评估指标体系，组织评估地方政府债务风险状况，对债务高风险地区提出预警，并监督化解债务风险。</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第四十八条</w:t>
      </w:r>
      <w:r>
        <w:rPr>
          <w:rFonts w:hint="eastAsia" w:ascii="方正仿宋简体" w:hAnsi="方正仿宋简体" w:eastAsia="方正仿宋简体" w:cs="方正仿宋简体"/>
          <w:color w:val="333333"/>
          <w:kern w:val="0"/>
          <w:sz w:val="26"/>
          <w:szCs w:val="26"/>
        </w:rPr>
        <w:t xml:space="preserve"> 县级以上各级政府应当按照本年度转移支付预计执行数的一定比例将下一年度转移支付预计数提前下达至下一级政府，具体下达事宜由本级政府财政部门办理。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除据实结算等特殊项目的转移支付外，提前下达的一般性转移支付预计数的比例一般不低于90%；提前下达的专项转移支付预计数的比例一般不低于70%。其中，按照项目法管理分配的专项转移支付，应当一并明确下一年度组织实施的项目。</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第四十九条</w:t>
      </w:r>
      <w:r>
        <w:rPr>
          <w:rFonts w:hint="eastAsia" w:ascii="方正仿宋简体" w:hAnsi="方正仿宋简体" w:eastAsia="方正仿宋简体" w:cs="方正仿宋简体"/>
          <w:color w:val="333333"/>
          <w:kern w:val="0"/>
          <w:sz w:val="26"/>
          <w:szCs w:val="26"/>
        </w:rPr>
        <w:t xml:space="preserve"> 经本级政府批准，各级政府财政部门可以设置预算周转金，额度不得超过本级一般公共预算支出总额的1%。年度终了时，各级政府财政部门可以将预算周转金收回并用于补充预算稳定调节基金。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第五十条</w:t>
      </w:r>
      <w:r>
        <w:rPr>
          <w:rFonts w:hint="eastAsia" w:ascii="方正仿宋简体" w:hAnsi="方正仿宋简体" w:eastAsia="方正仿宋简体" w:cs="方正仿宋简体"/>
          <w:color w:val="333333"/>
          <w:kern w:val="0"/>
          <w:sz w:val="26"/>
          <w:szCs w:val="26"/>
        </w:rPr>
        <w:t xml:space="preserve"> 预算法第四十二条第一款所称结转资金，是指预算安排项目的支出年度终了时尚未执行完毕，或者因故未执行但下一年度需要按原用途继续使用的资金；连续两年未用完的结转资金，是指预算安排项目的支出在下一年度终了时仍未用完的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预算法第四十二条第一款所称结余资金，是指年度预算执行终了时，预算收入实际完成数扣除预算支出实际完成数和结转资金后剩余的资金。</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预算执行</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第五十一条</w:t>
      </w:r>
      <w:r>
        <w:rPr>
          <w:rFonts w:hint="eastAsia" w:ascii="方正仿宋简体" w:hAnsi="方正仿宋简体" w:eastAsia="方正仿宋简体" w:cs="方正仿宋简体"/>
          <w:color w:val="333333"/>
          <w:kern w:val="0"/>
          <w:sz w:val="26"/>
          <w:szCs w:val="26"/>
        </w:rPr>
        <w:t xml:space="preserve"> 预算执行中，政府财政部门的主要职责：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（一）研究和落实财政税收政策措施，支持经济社会健康发展；</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（二）制定组织预算收入、管理预算支出以及相关财务、会计、内部控制、监督等制度和办法；</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（三）督促各预算收入征收部门和单位依法履行职责，征缴预算收入；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（四）根据年度支出预算和用款计划，合理调度、拨付预算资金，监督各部门、各单位预算资金使用管理情况；</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（五）统一管理政府债务的举借、支出与偿还，监督债务资金使用情况；</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（六）指导和监督各部门、各单位建立健全财务制度和会计核算体系，规范账户管理，健全内部控制机制，按照规定使用预算资金；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（七）汇总、编报分期的预算执行数据，分析预算执行情况，按照本级人民代表大会常务委员会、本级政府和上一级政府财政部门的要求定期报告预算执行情况，并提出相关政策建议；</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（八）组织和指导预算资金绩效监控、绩效评价；</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（九）协调预算收入征收部门和单位、国库以及其他有关部门的业务工作。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第五十二条</w:t>
      </w:r>
      <w:r>
        <w:rPr>
          <w:rFonts w:hint="eastAsia" w:ascii="方正仿宋简体" w:hAnsi="方正仿宋简体" w:eastAsia="方正仿宋简体" w:cs="方正仿宋简体"/>
          <w:color w:val="333333"/>
          <w:kern w:val="0"/>
          <w:sz w:val="26"/>
          <w:szCs w:val="26"/>
        </w:rPr>
        <w:t xml:space="preserve"> 预算法第五十六条第二款所称财政专户，是指财政部门为履行财政管理职能，根据法律规定或者经国务院批准开设的用于管理核算特定专用资金的银行结算账户；所称特定专用资金，包括法律规定可以设立财政专户的资金，外国政府和国际经济组织的贷款、赠款，按照规定存储的人民币以外的货币，财政部会同有关部门报国务院批准的其他特定专用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开设、变更财政专户应当经财政部核准，撤销财政专户应当报财政部备案，中国人民银行应当加强对银行业金融机构开户的核准、管理和监督工作。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财政专户资金由本级政府财政部门管理。除法律另有规定外，未经本级政府财政部门同意，任何部门、单位和个人都无权冻结、动用财政专户资金。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财政专户资金应当由本级政府财政部门纳入统一的会计核算，并在预算执行情况、决算和政府综合财务报告中单独反映。</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第五十三条</w:t>
      </w:r>
      <w:r>
        <w:rPr>
          <w:rFonts w:hint="eastAsia" w:ascii="方正仿宋简体" w:hAnsi="方正仿宋简体" w:eastAsia="方正仿宋简体" w:cs="方正仿宋简体"/>
          <w:color w:val="333333"/>
          <w:kern w:val="0"/>
          <w:sz w:val="26"/>
          <w:szCs w:val="26"/>
        </w:rPr>
        <w:t xml:space="preserve"> 预算执行中，各部门、各单位的主要职责：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（一）制定本部门、本单位预算执行制度，建立健全内部控制机制；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（二）依法组织收入，严格支出管理，实施绩效监控，开展绩效评价，提高资金使用效益；</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（三）对单位的各项经济业务进行会计核算；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（四）汇总本部门、本单位的预算执行情况，定期向本级政府财政部门报送预算执行情况报告和绩效评价报告。</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第五十四条</w:t>
      </w:r>
      <w:r>
        <w:rPr>
          <w:rFonts w:hint="eastAsia" w:ascii="方正仿宋简体" w:hAnsi="方正仿宋简体" w:eastAsia="方正仿宋简体" w:cs="方正仿宋简体"/>
          <w:color w:val="333333"/>
          <w:kern w:val="0"/>
          <w:sz w:val="26"/>
          <w:szCs w:val="26"/>
        </w:rPr>
        <w:t xml:space="preserve"> 财政部门会同社会保险行政部门、社会保险费征收机构制定社会保险基金预算的收入、支出以及财务管理的具体办法。</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社会保险基金预算由社会保险费征收机构和社会保险经办机构具体执行，并按照规定向本级政府财政部门和社会保险行政部门报告执行情况。</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第五十五条</w:t>
      </w:r>
      <w:r>
        <w:rPr>
          <w:rFonts w:hint="eastAsia" w:ascii="方正仿宋简体" w:hAnsi="方正仿宋简体" w:eastAsia="方正仿宋简体" w:cs="方正仿宋简体"/>
          <w:color w:val="333333"/>
          <w:kern w:val="0"/>
          <w:sz w:val="26"/>
          <w:szCs w:val="26"/>
        </w:rPr>
        <w:t xml:space="preserve"> 各级政府财政部门和税务、海关等预算收入征收部门和单位必须依法组织预算收入，按照财政管理体制、征收管理制度和国库集中收缴制度的规定征收预算收入，除依法缴入财政专户的社会保险基金等预算收入外，应当及时将预算收入缴入国库。</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第五十六条</w:t>
      </w:r>
      <w:r>
        <w:rPr>
          <w:rFonts w:hint="eastAsia" w:ascii="方正仿宋简体" w:hAnsi="方正仿宋简体" w:eastAsia="方正仿宋简体" w:cs="方正仿宋简体"/>
          <w:color w:val="333333"/>
          <w:kern w:val="0"/>
          <w:sz w:val="26"/>
          <w:szCs w:val="26"/>
        </w:rPr>
        <w:t xml:space="preserve"> 除依法缴入财政专户的社会保险基金等预算收入外，一切有预算收入上缴义务的部门和单位，必须将应当上缴的预算收入，按照规定的预算级次、政府收支分类科目、缴库方式和期限缴入国库，任何部门、单位和个人不得截留、占用、挪用或者拖欠。</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第五十七条</w:t>
      </w:r>
      <w:r>
        <w:rPr>
          <w:rFonts w:hint="eastAsia" w:ascii="方正仿宋简体" w:hAnsi="方正仿宋简体" w:eastAsia="方正仿宋简体" w:cs="方正仿宋简体"/>
          <w:color w:val="333333"/>
          <w:kern w:val="0"/>
          <w:sz w:val="26"/>
          <w:szCs w:val="26"/>
        </w:rPr>
        <w:t xml:space="preserve"> 各级政府财政部门应当加强对预算资金拨付的管理，并遵循下列原则：</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按照预算拨付，即按照批准的年度预算和用款计划拨付资金。除预算法第五十四条规定的在预算草案批准前可以安排支出的情形外，不得办理无预算、无用款计划、超预算或者超计划的资金拨付，不得擅自改变支出用途；</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（二）按照规定的预算级次和程序拨付，即根据用款单位的申请，按照用款单位的预算级次、审定的用款计划和财政部门规定的预算资金拨付程序拨付资金；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（三）按照进度拨付，即根据用款单位的实际用款进度拨付资金。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第五十八条</w:t>
      </w:r>
      <w:r>
        <w:rPr>
          <w:rFonts w:hint="eastAsia" w:ascii="方正仿宋简体" w:hAnsi="方正仿宋简体" w:eastAsia="方正仿宋简体" w:cs="方正仿宋简体"/>
          <w:color w:val="333333"/>
          <w:kern w:val="0"/>
          <w:sz w:val="26"/>
          <w:szCs w:val="26"/>
        </w:rPr>
        <w:t xml:space="preserve"> 财政部应当根据全国人民代表大会批准的中央政府债务余额限额，合理安排发行国债的品种、结构、期限和时点。</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省、自治区、直辖市政府财政部门应当根据国务院批准的本地区政府债务限额，合理安排发行本地区政府债券的结构、期限和时点。</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第五十九条</w:t>
      </w:r>
      <w:r>
        <w:rPr>
          <w:rFonts w:hint="eastAsia" w:ascii="方正仿宋简体" w:hAnsi="方正仿宋简体" w:eastAsia="方正仿宋简体" w:cs="方正仿宋简体"/>
          <w:color w:val="333333"/>
          <w:kern w:val="0"/>
          <w:sz w:val="26"/>
          <w:szCs w:val="26"/>
        </w:rPr>
        <w:t xml:space="preserve"> 转移支付预算下达和资金拨付应当由财政部门办理，其他部门和单位不得对下级政府部门和单位下达转移支付预算或者拨付转移支付资金。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第六十条</w:t>
      </w:r>
      <w:r>
        <w:rPr>
          <w:rFonts w:hint="eastAsia" w:ascii="方正仿宋简体" w:hAnsi="方正仿宋简体" w:eastAsia="方正仿宋简体" w:cs="方正仿宋简体"/>
          <w:color w:val="333333"/>
          <w:kern w:val="0"/>
          <w:sz w:val="26"/>
          <w:szCs w:val="26"/>
        </w:rPr>
        <w:t xml:space="preserve"> 各级政府、各部门、各单位应当加强对预算支出的管理，严格执行预算，遵守财政制度，强化预算约束，不得擅自扩大支出范围、提高开支标准；严格按照预算规定的支出用途使用资金，合理安排支出进度。</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第六十一条</w:t>
      </w:r>
      <w:r>
        <w:rPr>
          <w:rFonts w:hint="eastAsia" w:ascii="方正仿宋简体" w:hAnsi="方正仿宋简体" w:eastAsia="方正仿宋简体" w:cs="方正仿宋简体"/>
          <w:color w:val="333333"/>
          <w:kern w:val="0"/>
          <w:sz w:val="26"/>
          <w:szCs w:val="26"/>
        </w:rPr>
        <w:t xml:space="preserve"> 财政部负责制定与预算执行有关的财务规则、会计准则和会计制度。各部门、各单位应当按照本级政府财政部门的要求建立健全财务制度，加强会计核算。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第六十二条</w:t>
      </w:r>
      <w:r>
        <w:rPr>
          <w:rFonts w:hint="eastAsia" w:ascii="方正仿宋简体" w:hAnsi="方正仿宋简体" w:eastAsia="方正仿宋简体" w:cs="方正仿宋简体"/>
          <w:color w:val="333333"/>
          <w:kern w:val="0"/>
          <w:sz w:val="26"/>
          <w:szCs w:val="26"/>
        </w:rPr>
        <w:t xml:space="preserve"> 国库是办理预算收入的收纳、划分、留解、退付和库款支拨的专门机构。国库分为中央国库和地方国库。</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中央国库业务由中国人民银行经理。未设中国人民银行分支机构的地区，由中国人民银行商财政部后，委托有关银行业金融机构办理。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地方国库业务由中国人民银行分支机构经理。未设中国人民银行分支机构的地区，由上级中国人民银行分支机构商有关地方政府财政部门后，委托有关银行业金融机构办理。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具备条件的乡、民族乡、镇，应当设立国库。具体条件和标准由省、自治区、直辖市政府财政部门确定。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第六十三条</w:t>
      </w:r>
      <w:r>
        <w:rPr>
          <w:rFonts w:hint="eastAsia" w:ascii="方正仿宋简体" w:hAnsi="方正仿宋简体" w:eastAsia="方正仿宋简体" w:cs="方正仿宋简体"/>
          <w:color w:val="333333"/>
          <w:kern w:val="0"/>
          <w:sz w:val="26"/>
          <w:szCs w:val="26"/>
        </w:rPr>
        <w:t xml:space="preserve"> 中央国库业务应当接受财政部的指导和监督，对中央财政负责。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地方国库业务应当接受本级政府财政部门的指导和监督，对地方财政负责。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省、自治区、直辖市制定的地方国库业务规程应当报财政部和中国人民银行备案。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第六十四条</w:t>
      </w:r>
      <w:r>
        <w:rPr>
          <w:rFonts w:hint="eastAsia" w:ascii="方正仿宋简体" w:hAnsi="方正仿宋简体" w:eastAsia="方正仿宋简体" w:cs="方正仿宋简体"/>
          <w:color w:val="333333"/>
          <w:kern w:val="0"/>
          <w:sz w:val="26"/>
          <w:szCs w:val="26"/>
        </w:rPr>
        <w:t xml:space="preserve"> 各级国库应当及时向本级政府财政部门编报预算收入入库、解库、库款拨付以及库款余额情况的日报、旬报、月报和年报。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第六十五条</w:t>
      </w:r>
      <w:r>
        <w:rPr>
          <w:rFonts w:hint="eastAsia" w:ascii="方正仿宋简体" w:hAnsi="方正仿宋简体" w:eastAsia="方正仿宋简体" w:cs="方正仿宋简体"/>
          <w:color w:val="333333"/>
          <w:kern w:val="0"/>
          <w:sz w:val="26"/>
          <w:szCs w:val="26"/>
        </w:rPr>
        <w:t xml:space="preserve"> 各级国库应当依照有关法律、行政法规、国务院以及财政部、中国人民银行的有关规定，加强对国库业务的管理，及时准确地办理预算收入的收纳、划分、留解、退付和预算支出的拨付。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各级国库和有关银行业金融机构必须遵守国家有关预算收入缴库的规定，不得延解、占压应当缴入国库的预算收入和国库库款。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第六十六条</w:t>
      </w:r>
      <w:r>
        <w:rPr>
          <w:rFonts w:hint="eastAsia" w:ascii="方正仿宋简体" w:hAnsi="方正仿宋简体" w:eastAsia="方正仿宋简体" w:cs="方正仿宋简体"/>
          <w:color w:val="333333"/>
          <w:kern w:val="0"/>
          <w:sz w:val="26"/>
          <w:szCs w:val="26"/>
        </w:rPr>
        <w:t xml:space="preserve"> 各级国库必须凭本级政府财政部门签发的拨款凭证或者支付清算指令于当日办理资金拨付，并及时将款项转入收款单位的账户或者清算资金。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各级国库和有关银行业金融机构不得占压财政部门拨付的预算资金。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第六十七条</w:t>
      </w:r>
      <w:r>
        <w:rPr>
          <w:rFonts w:hint="eastAsia" w:ascii="方正仿宋简体" w:hAnsi="方正仿宋简体" w:eastAsia="方正仿宋简体" w:cs="方正仿宋简体"/>
          <w:color w:val="333333"/>
          <w:kern w:val="0"/>
          <w:sz w:val="26"/>
          <w:szCs w:val="26"/>
        </w:rPr>
        <w:t xml:space="preserve"> 各级政府财政部门、预算收入征收部门和单位、国库应当建立健全相互之间的预算收入对账制度，在预算执行中按月、按年核对预算收入的收纳以及库款拨付情况，保证预算收入的征收入库、库款拨付和库存金额准确无误。</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第六十八条</w:t>
      </w:r>
      <w:r>
        <w:rPr>
          <w:rFonts w:hint="eastAsia" w:ascii="方正仿宋简体" w:hAnsi="方正仿宋简体" w:eastAsia="方正仿宋简体" w:cs="方正仿宋简体"/>
          <w:color w:val="333333"/>
          <w:kern w:val="0"/>
          <w:sz w:val="26"/>
          <w:szCs w:val="26"/>
        </w:rPr>
        <w:t xml:space="preserve"> 中央预算收入、中央和地方预算共享收入退库的办法，由财政部制定。地方预算收入退库的办法，由省、自治区、直辖市政府财政部门制定。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预算收入退库的审批权属于本级政府财政部门。中央预算收入、中央和地方预算共享收入的退库，由财政部或者财政部授权的机构批准。地方预算收入的退库，由地方政府财政部门或者其授权的机构批准。具体退库程序按照财政部的有关规定办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办理预算收入退库，应当直接退给申请单位或者申请个人，按照国家规定用途使用。任何部门、单位和个人不得截留、挪用退库款项。</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第六十九条</w:t>
      </w:r>
      <w:r>
        <w:rPr>
          <w:rFonts w:hint="eastAsia" w:ascii="方正仿宋简体" w:hAnsi="方正仿宋简体" w:eastAsia="方正仿宋简体" w:cs="方正仿宋简体"/>
          <w:color w:val="333333"/>
          <w:kern w:val="0"/>
          <w:sz w:val="26"/>
          <w:szCs w:val="26"/>
        </w:rPr>
        <w:t xml:space="preserve"> 各级政府应当加强对本级国库的管理和监督，各级政府财政部门负责协调本级预算收入征收部门和单位与国库的业务工作。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第七十条</w:t>
      </w:r>
      <w:r>
        <w:rPr>
          <w:rFonts w:hint="eastAsia" w:ascii="方正仿宋简体" w:hAnsi="方正仿宋简体" w:eastAsia="方正仿宋简体" w:cs="方正仿宋简体"/>
          <w:color w:val="333333"/>
          <w:kern w:val="0"/>
          <w:sz w:val="26"/>
          <w:szCs w:val="26"/>
        </w:rPr>
        <w:t xml:space="preserve"> 国务院各部门制定的规章、文件，凡涉及减免应缴预算收入、设立和改变收入项目和标准、罚没财物处理、经费开支标准和范围、国有资产处置和收益分配以及会计核算等事项的，应当符合国家统一的规定；凡涉及增加或者减少财政收入或者支出的，应当征求财政部意见。</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第七十一条</w:t>
      </w:r>
      <w:r>
        <w:rPr>
          <w:rFonts w:hint="eastAsia" w:ascii="方正仿宋简体" w:hAnsi="方正仿宋简体" w:eastAsia="方正仿宋简体" w:cs="方正仿宋简体"/>
          <w:color w:val="333333"/>
          <w:kern w:val="0"/>
          <w:sz w:val="26"/>
          <w:szCs w:val="26"/>
        </w:rPr>
        <w:t xml:space="preserve"> 地方政府依据法定权限制定的规章和规定的行政措施，不得涉及减免中央预算收入、中央和地方预算共享收入，不得影响中央预算收入、中央和地方预算共享收入的征收；违反规定的，有关预算收入征收部门和单位有权拒绝执行，并应当向上级预算收入征收部门和单位以及财政部报告。</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第七十二条</w:t>
      </w:r>
      <w:r>
        <w:rPr>
          <w:rFonts w:hint="eastAsia" w:ascii="方正仿宋简体" w:hAnsi="方正仿宋简体" w:eastAsia="方正仿宋简体" w:cs="方正仿宋简体"/>
          <w:color w:val="333333"/>
          <w:kern w:val="0"/>
          <w:sz w:val="26"/>
          <w:szCs w:val="26"/>
        </w:rPr>
        <w:t xml:space="preserve"> 各级政府应当加强对预算执行工作的领导，定期听取财政部门有关预算执行情况的汇报，研究解决预算执行中出现的问题。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第七十三条</w:t>
      </w:r>
      <w:r>
        <w:rPr>
          <w:rFonts w:hint="eastAsia" w:ascii="方正仿宋简体" w:hAnsi="方正仿宋简体" w:eastAsia="方正仿宋简体" w:cs="方正仿宋简体"/>
          <w:color w:val="333333"/>
          <w:kern w:val="0"/>
          <w:sz w:val="26"/>
          <w:szCs w:val="26"/>
        </w:rPr>
        <w:t xml:space="preserve"> 各级政府财政部门有权监督本级各部门及其所属各单位的预算管理有关工作，对各部门的预算执行情况和绩效进行评价、考核。</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各级政府财政部门有权对与本级各预算收入相关的征收部门和单位征收本级预算收入的情况进行监督，对违反法律、行政法规规定多征、提前征收、减征、免征、缓征或者退还预算收入的，责令改正。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第七十四条</w:t>
      </w:r>
      <w:r>
        <w:rPr>
          <w:rFonts w:hint="eastAsia" w:ascii="方正仿宋简体" w:hAnsi="方正仿宋简体" w:eastAsia="方正仿宋简体" w:cs="方正仿宋简体"/>
          <w:color w:val="333333"/>
          <w:kern w:val="0"/>
          <w:sz w:val="26"/>
          <w:szCs w:val="26"/>
        </w:rPr>
        <w:t xml:space="preserve"> 各级政府财政部门应当每月向本级政府报告预算执行情况，具体报告内容、方式和期限由本级政府规定。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第七十五条</w:t>
      </w:r>
      <w:r>
        <w:rPr>
          <w:rFonts w:hint="eastAsia" w:ascii="方正仿宋简体" w:hAnsi="方正仿宋简体" w:eastAsia="方正仿宋简体" w:cs="方正仿宋简体"/>
          <w:color w:val="333333"/>
          <w:kern w:val="0"/>
          <w:sz w:val="26"/>
          <w:szCs w:val="26"/>
        </w:rPr>
        <w:t xml:space="preserve"> 地方各级政府财政部门应当定期向上一级政府财政部门报送本行政区域预算执行情况，包括预算执行旬报、月报、季报，政府债务余额统计报告，国库库款报告以及相关文字说明材料。具体报送内容、方式和期限由上一级政府财政部门规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第七十六条</w:t>
      </w:r>
      <w:r>
        <w:rPr>
          <w:rFonts w:hint="eastAsia" w:ascii="方正仿宋简体" w:hAnsi="方正仿宋简体" w:eastAsia="方正仿宋简体" w:cs="方正仿宋简体"/>
          <w:color w:val="333333"/>
          <w:kern w:val="0"/>
          <w:sz w:val="26"/>
          <w:szCs w:val="26"/>
        </w:rPr>
        <w:t xml:space="preserve"> 各级税务、海关等预算收入征收部门和单位应当按照财政部门规定的期限和要求，向财政部门和上级主管部门报送有关预算收入征收情况，并附文字说明材料。</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各级税务、海关等预算收入征收部门和单位应当与相关财政部门建立收入征管信息共享机制。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第七十七条</w:t>
      </w:r>
      <w:r>
        <w:rPr>
          <w:rFonts w:hint="eastAsia" w:ascii="方正仿宋简体" w:hAnsi="方正仿宋简体" w:eastAsia="方正仿宋简体" w:cs="方正仿宋简体"/>
          <w:color w:val="333333"/>
          <w:kern w:val="0"/>
          <w:sz w:val="26"/>
          <w:szCs w:val="26"/>
        </w:rPr>
        <w:t xml:space="preserve"> 各部门应当按照本级政府财政部门规定的期限和要求，向本级政府财政部门报送本部门及其所属各单位的预算收支情况等报表和文字说明材料。</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第七十八条</w:t>
      </w:r>
      <w:r>
        <w:rPr>
          <w:rFonts w:hint="eastAsia" w:ascii="方正仿宋简体" w:hAnsi="方正仿宋简体" w:eastAsia="方正仿宋简体" w:cs="方正仿宋简体"/>
          <w:color w:val="333333"/>
          <w:kern w:val="0"/>
          <w:sz w:val="26"/>
          <w:szCs w:val="26"/>
        </w:rPr>
        <w:t xml:space="preserve"> 预算法第六十六条第一款所称超收收入，是指年度本级一般公共预算收入的实际完成数超过经本级人民代表大会或者其常务委员会批准的预算收入数的部分。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预算法第六十六条第三款所称短收，是指年度本级一般公共预算收入的实际完成数小于经本级人民代表大会或者其常务委员会批准的预算收入数的情形。</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前两款所称实际完成数和预算收入数，不包括转移性收入和政府债务收入。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省、自治区、直辖市政府依照预算法第六十六条第三款规定增列的赤字，可以通过在国务院下达的本地区政府债务限额内发行地方政府一般债券予以平衡。</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设区的市、自治州以下各级一般公共预算年度执行中出现短收的，应当通过调入预算稳定调节基金或者其他预算资金、减少支出等方式实现收支平衡；采取上述措施仍不能实现收支平衡的，可以通过申请上级政府临时救助平衡当年预算，并在下一年度预算中安排资金归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各级一般公共预算年度执行中厉行节约、节约开支，造成本级预算支出实际执行数小于预算总支出的，不属于预算调整的情形。</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各级政府性基金预算年度执行中有超收收入的，应当在下一年度安排使用并优先用于偿还相应的专项债务；出现短收的，应当通过减少支出实现收支平衡。国务院另有规定的除外。</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各级国有资本经营预算年度执行中有超收收入的，应当在下一年度安排使用；出现短收的，应当通过减少支出实现收支平衡。国务院另有规定的除外。</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第七十九条</w:t>
      </w:r>
      <w:r>
        <w:rPr>
          <w:rFonts w:hint="eastAsia" w:ascii="方正仿宋简体" w:hAnsi="方正仿宋简体" w:eastAsia="方正仿宋简体" w:cs="方正仿宋简体"/>
          <w:color w:val="333333"/>
          <w:kern w:val="0"/>
          <w:sz w:val="26"/>
          <w:szCs w:val="26"/>
        </w:rPr>
        <w:t xml:space="preserve"> 年度预算确定后，部门、单位改变隶属关系引起预算级次或者预算关系变化的，应当在改变财务关系的同时，相应办理预算、资产划转。</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决 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第八十条</w:t>
      </w:r>
      <w:r>
        <w:rPr>
          <w:rFonts w:hint="eastAsia" w:ascii="方正仿宋简体" w:hAnsi="方正仿宋简体" w:eastAsia="方正仿宋简体" w:cs="方正仿宋简体"/>
          <w:color w:val="333333"/>
          <w:kern w:val="0"/>
          <w:sz w:val="26"/>
          <w:szCs w:val="26"/>
        </w:rPr>
        <w:t xml:space="preserve"> 预算法第七十四条所称决算草案，是指各级政府、各部门、各单位编制的未经法定程序审查和批准的预算收支和结余的年度执行结果。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第八十一条</w:t>
      </w:r>
      <w:r>
        <w:rPr>
          <w:rFonts w:hint="eastAsia" w:ascii="方正仿宋简体" w:hAnsi="方正仿宋简体" w:eastAsia="方正仿宋简体" w:cs="方正仿宋简体"/>
          <w:color w:val="333333"/>
          <w:kern w:val="0"/>
          <w:sz w:val="26"/>
          <w:szCs w:val="26"/>
        </w:rPr>
        <w:t xml:space="preserve"> 财政部应当在每年第四季度部署编制决算草案的原则、要求、方法和报送期限，制发中央各部门决算、地方决算以及其他有关决算的报表格式。</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省、自治区、直辖市政府按照国务院的要求和财政部的部署，结合本地区的具体情况，提出本行政区域编制决算草案的要求。</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县级以上地方政府财政部门根据财政部的部署和省、自治区、直辖市政府的要求，部署编制本级政府各部门和下级政府决算草案的原则、要求、方法和报送期限，制发本级政府各部门决算、下级政府决算以及其他有关决算的报表格式。</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第八十二条</w:t>
      </w:r>
      <w:r>
        <w:rPr>
          <w:rFonts w:hint="eastAsia" w:ascii="方正仿宋简体" w:hAnsi="方正仿宋简体" w:eastAsia="方正仿宋简体" w:cs="方正仿宋简体"/>
          <w:color w:val="333333"/>
          <w:kern w:val="0"/>
          <w:sz w:val="26"/>
          <w:szCs w:val="26"/>
        </w:rPr>
        <w:t xml:space="preserve"> 地方政府财政部门根据上级政府财政部门的部署，制定本行政区域决算草案和本级各部门决算草案的具体编制办法。</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各部门根据本级政府财政部门的部署，制定所属各单位决算草案的具体编制办法。</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第八十三条</w:t>
      </w:r>
      <w:r>
        <w:rPr>
          <w:rFonts w:hint="eastAsia" w:ascii="方正仿宋简体" w:hAnsi="方正仿宋简体" w:eastAsia="方正仿宋简体" w:cs="方正仿宋简体"/>
          <w:color w:val="333333"/>
          <w:kern w:val="0"/>
          <w:sz w:val="26"/>
          <w:szCs w:val="26"/>
        </w:rPr>
        <w:t xml:space="preserve"> 各级政府财政部门、各部门、各单位在每一预算年度终了时，应当清理核实全年预算收入、支出数据和往来款项，做好决算数据对账工作。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决算各项数据应当以经核实的各级政府、各部门、各单位会计数据为准，不得以估计数据替代，不得弄虚作假。</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各部门、各单位决算应当列示结转、结余资金。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 xml:space="preserve">第八十四条 </w:t>
      </w:r>
      <w:r>
        <w:rPr>
          <w:rFonts w:hint="eastAsia" w:ascii="方正仿宋简体" w:hAnsi="方正仿宋简体" w:eastAsia="方正仿宋简体" w:cs="方正仿宋简体"/>
          <w:color w:val="333333"/>
          <w:kern w:val="0"/>
          <w:sz w:val="26"/>
          <w:szCs w:val="26"/>
        </w:rPr>
        <w:t>各单位应当按照主管部门的布置，认真编制本单位决算草案，在规定期限内上报。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各部门在审核汇总所属各单位决算草案基础上，连同本部门自身的决算收入和支出数据，汇编成本部门决算草案并附详细说明，经部门负责人签章后，在规定期限内报本级政府财政部门审核。</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第八十五条</w:t>
      </w:r>
      <w:r>
        <w:rPr>
          <w:rFonts w:hint="eastAsia" w:ascii="方正仿宋简体" w:hAnsi="方正仿宋简体" w:eastAsia="方正仿宋简体" w:cs="方正仿宋简体"/>
          <w:color w:val="333333"/>
          <w:kern w:val="0"/>
          <w:sz w:val="26"/>
          <w:szCs w:val="26"/>
        </w:rPr>
        <w:t xml:space="preserve"> 各级预算收入征收部门和单位应当按照财政部门的要求，及时编制收入年报以及有关资料并报送财政部门。</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第八十六条</w:t>
      </w:r>
      <w:r>
        <w:rPr>
          <w:rFonts w:hint="eastAsia" w:ascii="方正仿宋简体" w:hAnsi="方正仿宋简体" w:eastAsia="方正仿宋简体" w:cs="方正仿宋简体"/>
          <w:color w:val="333333"/>
          <w:kern w:val="0"/>
          <w:sz w:val="26"/>
          <w:szCs w:val="26"/>
        </w:rPr>
        <w:t xml:space="preserve"> 各级政府财政部门应当根据本级预算、预算会计核算数据等相关资料编制本级决算草案。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第八十七条</w:t>
      </w:r>
      <w:r>
        <w:rPr>
          <w:rFonts w:hint="eastAsia" w:ascii="方正仿宋简体" w:hAnsi="方正仿宋简体" w:eastAsia="方正仿宋简体" w:cs="方正仿宋简体"/>
          <w:color w:val="333333"/>
          <w:kern w:val="0"/>
          <w:sz w:val="26"/>
          <w:szCs w:val="26"/>
        </w:rPr>
        <w:t xml:space="preserve"> 年度预算执行终了，对于上下级财政之间按照规定需要清算的事项，应当在决算时办理结算。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县级以上各级政府财政部门编制的决算草案应当及时报送本级政府审计部门审计。</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第八十八条</w:t>
      </w:r>
      <w:r>
        <w:rPr>
          <w:rFonts w:hint="eastAsia" w:ascii="方正仿宋简体" w:hAnsi="方正仿宋简体" w:eastAsia="方正仿宋简体" w:cs="方正仿宋简体"/>
          <w:color w:val="333333"/>
          <w:kern w:val="0"/>
          <w:sz w:val="26"/>
          <w:szCs w:val="26"/>
        </w:rPr>
        <w:t xml:space="preserve"> 县级以上地方各级政府应当自本级决算经批准之日起30日内，将本级决算以及下一级政府上报备案的决算汇总，报上一级政府备案；将下一级政府报送备案的决算汇总，报本级人民代表大会常务委员会备案。</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乡、民族乡、镇政府应当自本级决算经批准之日起30日内，将本级决算报上一级政府备案。</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监 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第八十九条</w:t>
      </w:r>
      <w:r>
        <w:rPr>
          <w:rFonts w:hint="eastAsia" w:ascii="方正仿宋简体" w:hAnsi="方正仿宋简体" w:eastAsia="方正仿宋简体" w:cs="方正仿宋简体"/>
          <w:color w:val="333333"/>
          <w:kern w:val="0"/>
          <w:sz w:val="26"/>
          <w:szCs w:val="26"/>
        </w:rPr>
        <w:t xml:space="preserve"> 县级以上各级政府应当接受本级和上级人民代表大会及其常务委员会对预算执行情况和决算的监督，乡、民族乡、镇政府应当接受本级人民代表大会和上级人民代表大会及其常务委员会对预算执行情况和决算的监督；按照本级人民代表大会或者其常务委员会的要求，报告预算执行情况；认真研究处理本级人民代表大会代表或者其常务委员会组成人员有关改进预算管理的建议、批评和意见，并及时答复。</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第九十条</w:t>
      </w:r>
      <w:r>
        <w:rPr>
          <w:rFonts w:hint="eastAsia" w:ascii="方正仿宋简体" w:hAnsi="方正仿宋简体" w:eastAsia="方正仿宋简体" w:cs="方正仿宋简体"/>
          <w:color w:val="333333"/>
          <w:kern w:val="0"/>
          <w:sz w:val="26"/>
          <w:szCs w:val="26"/>
        </w:rPr>
        <w:t xml:space="preserve"> 各级政府应当加强对下级政府预算执行情况的监督，对下级政府在预算执行中违反预算法、本条例和国家方针政策的行为，依法予以制止和纠正；对本级预算执行中出现的问题，及时采取处理措施。</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下级政府应当接受上级政府对预算执行情况的监督；根据上级政府的要求，及时提供资料，如实反映情况，不得隐瞒、虚报；严格执行上级政府作出的有关决定，并将执行结果及时上报。</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第九十一条</w:t>
      </w:r>
      <w:r>
        <w:rPr>
          <w:rFonts w:hint="eastAsia" w:ascii="方正仿宋简体" w:hAnsi="方正仿宋简体" w:eastAsia="方正仿宋简体" w:cs="方正仿宋简体"/>
          <w:color w:val="333333"/>
          <w:kern w:val="0"/>
          <w:sz w:val="26"/>
          <w:szCs w:val="26"/>
        </w:rPr>
        <w:t xml:space="preserve"> 各部门及其所属各单位应当接受本级政府财政部门对预算管理有关工作的监督。</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财政部派出机构根据职责和财政部的授权，依法开展工作。</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第九十二条</w:t>
      </w:r>
      <w:r>
        <w:rPr>
          <w:rFonts w:hint="eastAsia" w:ascii="方正仿宋简体" w:hAnsi="方正仿宋简体" w:eastAsia="方正仿宋简体" w:cs="方正仿宋简体"/>
          <w:color w:val="333333"/>
          <w:kern w:val="0"/>
          <w:sz w:val="26"/>
          <w:szCs w:val="26"/>
        </w:rPr>
        <w:t xml:space="preserve"> 各级政府审计部门应当依法对本级预算执行情况和决算草案，本级各部门、各单位和下级政府的预算执行情况和决算，进行审计监督。</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法律责任</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第九十三条</w:t>
      </w:r>
      <w:r>
        <w:rPr>
          <w:rFonts w:hint="eastAsia" w:ascii="方正仿宋简体" w:hAnsi="方正仿宋简体" w:eastAsia="方正仿宋简体" w:cs="方正仿宋简体"/>
          <w:color w:val="333333"/>
          <w:kern w:val="0"/>
          <w:sz w:val="26"/>
          <w:szCs w:val="26"/>
        </w:rPr>
        <w:t xml:space="preserve"> 预算法第九十三条第六项所称违反本法规定冻结、动用国库库款或者以其他方式支配已入国库库款，是指：</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（一）未经有关政府财政部门同意，冻结、动用国库库款；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（二）预算收入征收部门和单位违反规定将所收税款和其他预算收入存入国库之外的其他账户；</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（三）未经有关政府财政部门或者财政部门授权的机构同意，办理资金拨付和退付；</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（四）将国库库款挪作他用；</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（五）延解、占压国库库款；</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（六）占压政府财政部门拨付的预算资金。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第九十四条</w:t>
      </w:r>
      <w:r>
        <w:rPr>
          <w:rFonts w:hint="eastAsia" w:ascii="方正仿宋简体" w:hAnsi="方正仿宋简体" w:eastAsia="方正仿宋简体" w:cs="方正仿宋简体"/>
          <w:color w:val="333333"/>
          <w:kern w:val="0"/>
          <w:sz w:val="26"/>
          <w:szCs w:val="26"/>
        </w:rPr>
        <w:t xml:space="preserve"> 各级政府、有关部门和单位有下列行为之一的，责令改正；对负有直接责任的主管人员和其他直接责任人员，依法给予处分：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（一）突破一般债务限额或者专项债务限额举借债务；</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（二）违反本条例规定下达转移支付预算或者拨付转移支付资金；</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（三）擅自开设、变更账户。</w:t>
      </w:r>
    </w:p>
    <w:p>
      <w:pPr>
        <w:widowControl/>
        <w:spacing w:line="400" w:lineRule="exact"/>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 附 则</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第九十五条</w:t>
      </w:r>
      <w:r>
        <w:rPr>
          <w:rFonts w:hint="eastAsia" w:ascii="方正仿宋简体" w:hAnsi="方正仿宋简体" w:eastAsia="方正仿宋简体" w:cs="方正仿宋简体"/>
          <w:color w:val="333333"/>
          <w:kern w:val="0"/>
          <w:sz w:val="26"/>
          <w:szCs w:val="26"/>
        </w:rPr>
        <w:t xml:space="preserve"> 预算法第九十七条所称政府综合财务报告，是指以权责发生制为基础编制的反映各级政府整体财务状况、运行情况和财政中长期可持续性的报告。政府综合财务报告包括政府资产负债表、收入费用表等财务报表和报表附注，以及以此为基础进行的综合分析等。</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第九十六条</w:t>
      </w:r>
      <w:r>
        <w:rPr>
          <w:rFonts w:hint="eastAsia" w:ascii="方正仿宋简体" w:hAnsi="方正仿宋简体" w:eastAsia="方正仿宋简体" w:cs="方正仿宋简体"/>
          <w:color w:val="333333"/>
          <w:kern w:val="0"/>
          <w:sz w:val="26"/>
          <w:szCs w:val="26"/>
        </w:rPr>
        <w:t xml:space="preserve"> 政府投资年度计划应当和本级预算相衔接。政府投资决策、项目实施和监督管理按照政府投资有关行政法规执行。</w:t>
      </w:r>
    </w:p>
    <w:p>
      <w:pPr>
        <w:widowControl/>
        <w:shd w:val="clear" w:color="auto" w:fill="FFFFFF"/>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color w:val="333333"/>
          <w:kern w:val="0"/>
          <w:sz w:val="26"/>
          <w:szCs w:val="26"/>
        </w:rPr>
        <w:t>第九十七条</w:t>
      </w:r>
      <w:r>
        <w:rPr>
          <w:rFonts w:hint="eastAsia" w:ascii="方正仿宋简体" w:hAnsi="方正仿宋简体" w:eastAsia="方正仿宋简体" w:cs="方正仿宋简体"/>
          <w:color w:val="333333"/>
          <w:kern w:val="0"/>
          <w:sz w:val="26"/>
          <w:szCs w:val="26"/>
        </w:rPr>
        <w:t xml:space="preserve"> 本条例自2020年10月1日起施行。</w:t>
      </w: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p>
    <w:p>
      <w:pPr>
        <w:pStyle w:val="12"/>
        <w:shd w:val="clear" w:color="auto" w:fill="FFFFFF"/>
        <w:spacing w:before="0" w:beforeAutospacing="0" w:after="0" w:afterAutospacing="0" w:line="400" w:lineRule="exact"/>
        <w:ind w:firstLine="640" w:firstLineChars="200"/>
        <w:jc w:val="center"/>
        <w:rPr>
          <w:rFonts w:ascii="方正小标宋简体" w:hAnsi="方正仿宋简体" w:eastAsia="方正小标宋简体" w:cs="方正仿宋简体"/>
          <w:b/>
          <w:bCs/>
          <w:color w:val="323232"/>
          <w:sz w:val="32"/>
          <w:szCs w:val="32"/>
          <w:lang w:val="zh-CN" w:bidi="zh-CN"/>
        </w:rPr>
      </w:pPr>
      <w:r>
        <w:rPr>
          <w:rFonts w:hint="eastAsia" w:ascii="方正小标宋简体" w:hAnsi="方正仿宋简体" w:eastAsia="方正小标宋简体" w:cs="方正仿宋简体"/>
          <w:b/>
          <w:bCs/>
          <w:color w:val="323232"/>
          <w:sz w:val="32"/>
          <w:szCs w:val="32"/>
          <w:lang w:val="zh-CN" w:bidi="zh-CN"/>
        </w:rPr>
        <w:t>中华人民共和国专利法</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（1984年3月12日第六届全国人民代表大会常务委员会第四次会议通过 根据1992年9月4日第七届全国人民代表大会常务委员会第二十七次会议《关于修改〈中华人民共和国专利法〉的决定》第一次修正 根据2000年8月25日第九届全国人民代表大会常务委员会第十七次会议《关于修改〈中华人民共和国专利法〉的决定》第二次修正 根据2008年12月27日第十一届全国人民代表大会常务委员会第六次会议《关于修改〈中华人民共和国专利法〉的决定》第三次修正 根据2020年10月17日第十三届全国人民代表大会常务委员会第二十二次会议《关于修改〈中华人民共和国专利法〉的决定》第四次修正）</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目录</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第一章 总则</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第二章 授予专利权的条件</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第三章 专利的申请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第四章 专利申请的审查和批准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第五章 专利权的期限、终止和无效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第六章 专利实施的特别许可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第七章 专利权的保护</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第八章 附则</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第一条</w:t>
      </w:r>
      <w:r>
        <w:rPr>
          <w:rStyle w:val="21"/>
          <w:rFonts w:hint="eastAsia" w:ascii="方正仿宋简体" w:hAnsi="方正仿宋简体" w:eastAsia="方正仿宋简体" w:cs="方正仿宋简体"/>
          <w:color w:val="333333"/>
          <w:sz w:val="26"/>
          <w:szCs w:val="26"/>
        </w:rPr>
        <w:t xml:space="preserve"> 为了保护专利权人的合法权益，鼓励发明创造，推动发明创造的应用，提高创新能力，促进科学技术进步和经济社会发展，制定本法。</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第二条</w:t>
      </w:r>
      <w:r>
        <w:rPr>
          <w:rStyle w:val="21"/>
          <w:rFonts w:hint="eastAsia" w:ascii="方正仿宋简体" w:hAnsi="方正仿宋简体" w:eastAsia="方正仿宋简体" w:cs="方正仿宋简体"/>
          <w:color w:val="333333"/>
          <w:sz w:val="26"/>
          <w:szCs w:val="26"/>
        </w:rPr>
        <w:t xml:space="preserve"> 本法所称的发明创造是指发明、实用新型和外观设计。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发明，是指对产品、方法或者其改进所提出的新的技术方案。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实用新型，是指对产品的形状、构造或者其结合所提出的适于实用的新的技术方案。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外观设计，是指对产品的整体或者局部的形状、图案或者其结合以及色彩与形状、图案的结合所作出的富有美感并适于工业应用的新设计。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第三条</w:t>
      </w:r>
      <w:r>
        <w:rPr>
          <w:rStyle w:val="21"/>
          <w:rFonts w:hint="eastAsia" w:ascii="方正仿宋简体" w:hAnsi="方正仿宋简体" w:eastAsia="方正仿宋简体" w:cs="方正仿宋简体"/>
          <w:color w:val="333333"/>
          <w:sz w:val="26"/>
          <w:szCs w:val="26"/>
        </w:rPr>
        <w:t xml:space="preserve"> 国务院专利行政部门负责管理全国的专利工作；统一受理和审查专利申请，依法授予专利权。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省、自治区、直辖市人民政府管理专利工作的部门负责本行政区域内的专利管理工作。</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第四条</w:t>
      </w:r>
      <w:r>
        <w:rPr>
          <w:rStyle w:val="21"/>
          <w:rFonts w:hint="eastAsia" w:ascii="方正仿宋简体" w:hAnsi="方正仿宋简体" w:eastAsia="方正仿宋简体" w:cs="方正仿宋简体"/>
          <w:color w:val="333333"/>
          <w:sz w:val="26"/>
          <w:szCs w:val="26"/>
        </w:rPr>
        <w:t xml:space="preserve"> 申请专利的发明创造涉及国家安全或者重大利益需要保密的，按照国家有关规定办理。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第五条</w:t>
      </w:r>
      <w:r>
        <w:rPr>
          <w:rStyle w:val="21"/>
          <w:rFonts w:hint="eastAsia" w:ascii="方正仿宋简体" w:hAnsi="方正仿宋简体" w:eastAsia="方正仿宋简体" w:cs="方正仿宋简体"/>
          <w:color w:val="333333"/>
          <w:sz w:val="26"/>
          <w:szCs w:val="26"/>
        </w:rPr>
        <w:t xml:space="preserve"> 对违反法律、社会公德或者妨害公共利益的发明创造，不授予专利权。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对违反法律、行政法规的规定获取或者利用遗传资源，并依赖该遗传资源完成的发明创造，不授予专利权。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第六条</w:t>
      </w:r>
      <w:r>
        <w:rPr>
          <w:rStyle w:val="21"/>
          <w:rFonts w:hint="eastAsia" w:ascii="方正仿宋简体" w:hAnsi="方正仿宋简体" w:eastAsia="方正仿宋简体" w:cs="方正仿宋简体"/>
          <w:color w:val="333333"/>
          <w:sz w:val="26"/>
          <w:szCs w:val="26"/>
        </w:rPr>
        <w:t xml:space="preserve"> 执行本单位的任务或者主要是利用本单位的物质技术条件所完成的发明创造为职务发明创造。职务发明创造申请专利的权利属于该单位，申请被批准后，该单位为专利权人。该单位可以依法处置其职务发明创造申请专利的权利和专利权，促进相关发明创造的实施和运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非职务发明创造，申请专利的权利属于发明人或者设计人；申请被批准后，该发明人或者设计人为专利权人。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利用本单位的物质技术条件所完成的发明创造，单位与发明人或者设计人订有合同，对申请专利的权利和专利权的归属作出约定的，从其约定。</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第七条</w:t>
      </w:r>
      <w:r>
        <w:rPr>
          <w:rStyle w:val="21"/>
          <w:rFonts w:hint="eastAsia" w:ascii="方正仿宋简体" w:hAnsi="方正仿宋简体" w:eastAsia="方正仿宋简体" w:cs="方正仿宋简体"/>
          <w:color w:val="333333"/>
          <w:sz w:val="26"/>
          <w:szCs w:val="26"/>
        </w:rPr>
        <w:t xml:space="preserve"> 对发明人或者设计人的非职务发明创造专利申请，任何单位或者个人不得压制。</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第八条</w:t>
      </w:r>
      <w:r>
        <w:rPr>
          <w:rStyle w:val="21"/>
          <w:rFonts w:hint="eastAsia" w:ascii="方正仿宋简体" w:hAnsi="方正仿宋简体" w:eastAsia="方正仿宋简体" w:cs="方正仿宋简体"/>
          <w:color w:val="333333"/>
          <w:sz w:val="26"/>
          <w:szCs w:val="26"/>
        </w:rPr>
        <w:t xml:space="preserve"> 两个以上单位或者个人合作完成的发明创造、一个单位或者个人接受其他单位或者个人委托所完成的发明创造，除另有协议的以外，申请专利的权利属于完成或者共同完成的单位或者个人；申请被批准后，申请的单位或者个人为专利权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第九条</w:t>
      </w:r>
      <w:r>
        <w:rPr>
          <w:rStyle w:val="21"/>
          <w:rFonts w:hint="eastAsia" w:ascii="方正仿宋简体" w:hAnsi="方正仿宋简体" w:eastAsia="方正仿宋简体" w:cs="方正仿宋简体"/>
          <w:color w:val="333333"/>
          <w:sz w:val="26"/>
          <w:szCs w:val="26"/>
        </w:rPr>
        <w:t xml:space="preserve"> 同样的发明创造只能授予一项专利权。但是，同一申请人同日对同样的发明创造既申请实用新型专利又申请发明专利，先获得的实用新型专利权尚未终止，且申请人声明放弃该实用新型专利权的，可以授予发明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两个以上的申请人分别就同样的发明创造申请专利的，专利权授予最先申请的人。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第十条</w:t>
      </w:r>
      <w:r>
        <w:rPr>
          <w:rStyle w:val="21"/>
          <w:rFonts w:hint="eastAsia" w:ascii="方正仿宋简体" w:hAnsi="方正仿宋简体" w:eastAsia="方正仿宋简体" w:cs="方正仿宋简体"/>
          <w:color w:val="333333"/>
          <w:sz w:val="26"/>
          <w:szCs w:val="26"/>
        </w:rPr>
        <w:t xml:space="preserve"> 专利申请权和专利权可以转让。</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中国单位或者个人向外国人、外国企业或者外国其他组织转让专利申请权或者专利权的，应当依照有关法律、行政法规的规定办理手续。</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转让专利申请权或者专利权的，当事人应当订立书面合同，并向国务院专利行政部门登记，由国务院专利行政部门予以公告。专利申请权或者专利权的转让自登记之日起生效。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第十一条</w:t>
      </w:r>
      <w:r>
        <w:rPr>
          <w:rStyle w:val="21"/>
          <w:rFonts w:hint="eastAsia" w:ascii="方正仿宋简体" w:hAnsi="方正仿宋简体" w:eastAsia="方正仿宋简体" w:cs="方正仿宋简体"/>
          <w:color w:val="333333"/>
          <w:sz w:val="26"/>
          <w:szCs w:val="26"/>
        </w:rPr>
        <w:t xml:space="preserve"> 发明和实用新型专利权被授予后，除本法另有规定的以外，任何单位或者个人未经专利权人许可，都不得实施其专利，即不得为生产经营目的制造、使用、许诺销售、销售、进口其专利产品，或者使用其专利方法以及使用、许诺销售、销售、进口依照该专利方法直接获得的产品。</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外观设计专利权被授予后，任何单位或者个人未经专利权人许可，都不得实施其专利，即不得为生产经营目的制造、许诺销售、销售、进口其外观设计专利产品。</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第十二条</w:t>
      </w:r>
      <w:r>
        <w:rPr>
          <w:rStyle w:val="21"/>
          <w:rFonts w:hint="eastAsia" w:ascii="方正仿宋简体" w:hAnsi="方正仿宋简体" w:eastAsia="方正仿宋简体" w:cs="方正仿宋简体"/>
          <w:color w:val="333333"/>
          <w:sz w:val="26"/>
          <w:szCs w:val="26"/>
        </w:rPr>
        <w:t xml:space="preserve"> 任何单位或者个人实施他人专利的，应当与专利权人订立实施许可合同，向专利权人支付专利使用费。被许可人无权允许合同规定以外的任何单位或者个人实施该专利。</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第十三条</w:t>
      </w:r>
      <w:r>
        <w:rPr>
          <w:rStyle w:val="21"/>
          <w:rFonts w:hint="eastAsia" w:ascii="方正仿宋简体" w:hAnsi="方正仿宋简体" w:eastAsia="方正仿宋简体" w:cs="方正仿宋简体"/>
          <w:color w:val="333333"/>
          <w:sz w:val="26"/>
          <w:szCs w:val="26"/>
        </w:rPr>
        <w:t xml:space="preserve"> 发明专利申请公布后，申请人可以要求实施其发明的单位或者个人支付适当的费用。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第十四条 </w:t>
      </w:r>
      <w:r>
        <w:rPr>
          <w:rStyle w:val="21"/>
          <w:rFonts w:hint="eastAsia" w:ascii="方正仿宋简体" w:hAnsi="方正仿宋简体" w:eastAsia="方正仿宋简体" w:cs="方正仿宋简体"/>
          <w:color w:val="333333"/>
          <w:sz w:val="26"/>
          <w:szCs w:val="26"/>
        </w:rPr>
        <w:t>专利申请权或者专利权的共有人对权利的行使有约定的，从其约定。没有约定的，共有人可以单独实施或者以普通许可方式许可他人实施该专利；许可他人实施该专利的，收取的使用费应当在共有人之间分配。</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除前款规定的情形外，行使共有的专利申请权或者专利权应当取得全体共有人的同意。</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第十五条</w:t>
      </w:r>
      <w:r>
        <w:rPr>
          <w:rStyle w:val="21"/>
          <w:rFonts w:hint="eastAsia" w:ascii="方正仿宋简体" w:hAnsi="方正仿宋简体" w:eastAsia="方正仿宋简体" w:cs="方正仿宋简体"/>
          <w:color w:val="333333"/>
          <w:sz w:val="26"/>
          <w:szCs w:val="26"/>
        </w:rPr>
        <w:t xml:space="preserve"> 被授予专利权的单位应当对职务发明创造的发明人或者设计人给予奖励；发明创造专利实施后，根据其推广应用的范围和取得的经济效益，对发明人或者设计人给予合理的报酬。</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国家鼓励被授予专利权的单位实行产权激励，采取股权、期权、分红等方式，使发明人或者设计人合理分享创新收益。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第十六条</w:t>
      </w:r>
      <w:r>
        <w:rPr>
          <w:rStyle w:val="21"/>
          <w:rFonts w:hint="eastAsia" w:ascii="方正仿宋简体" w:hAnsi="方正仿宋简体" w:eastAsia="方正仿宋简体" w:cs="方正仿宋简体"/>
          <w:color w:val="333333"/>
          <w:sz w:val="26"/>
          <w:szCs w:val="26"/>
        </w:rPr>
        <w:t xml:space="preserve"> 发明人或者设计人有权在专利文件中写明自己是发明人或者设计人。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专利权人有权在其专利产品或者该产品的包装上标明专利标识。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第十七条</w:t>
      </w:r>
      <w:r>
        <w:rPr>
          <w:rStyle w:val="21"/>
          <w:rFonts w:hint="eastAsia" w:ascii="方正仿宋简体" w:hAnsi="方正仿宋简体" w:eastAsia="方正仿宋简体" w:cs="方正仿宋简体"/>
          <w:color w:val="333333"/>
          <w:sz w:val="26"/>
          <w:szCs w:val="26"/>
        </w:rPr>
        <w:t xml:space="preserve"> 在中国没有经常居所或者营业所的外国人、外国企业或者外国其他组织在中国申请专利的，依照其所属国同中国签订的协议或者共同参加的国际条约，或者依照互惠原则，根据本法办理。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第十八条</w:t>
      </w:r>
      <w:r>
        <w:rPr>
          <w:rStyle w:val="21"/>
          <w:rFonts w:hint="eastAsia" w:ascii="方正仿宋简体" w:hAnsi="方正仿宋简体" w:eastAsia="方正仿宋简体" w:cs="方正仿宋简体"/>
          <w:color w:val="333333"/>
          <w:sz w:val="26"/>
          <w:szCs w:val="26"/>
        </w:rPr>
        <w:t xml:space="preserve"> 在中国没有经常居所或者营业所的外国人、外国企业或者外国其他组织在中国申请专利和办理其他专利事务的，应当委托依法设立的专利代理机构办理。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中国单位或者个人在国内申请专利和办理其他专利事务的，可以委托依法设立的专利代理机构办理。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代理机构应当遵守法律、行政法规，按照被代理人的委托办理专利申请或者其他专利事务；对被代理人发明创造的内容，除专利申请已经公布或者公告的以外，负有保密责任。专利代理机构的具体管理办法由国务院规定。</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第十九条</w:t>
      </w:r>
      <w:r>
        <w:rPr>
          <w:rStyle w:val="21"/>
          <w:rFonts w:hint="eastAsia" w:ascii="方正仿宋简体" w:hAnsi="方正仿宋简体" w:eastAsia="方正仿宋简体" w:cs="方正仿宋简体"/>
          <w:color w:val="333333"/>
          <w:sz w:val="26"/>
          <w:szCs w:val="26"/>
        </w:rPr>
        <w:t xml:space="preserve"> 任何单位或者个人将在中国完成的发明或者实用新型向外国申请专利的，应当事先报经国务院专利行政部门进行保密审查。保密审查的程序、期限等按照国务院的规定执行。</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中国单位或者个人可以根据中华人民共和国参加的有关国际条约提出专利国际申请。申请人提出专利国际申请的，应当遵守前款规定。</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国务院专利行政部门依照中华人民共和国参加的有关国际条约、本法和国务院有关规定处理专利国际申请。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对违反本条第一款规定向外国申请专利的发明或者实用新型，在中国申请专利的，不授予专利权。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第二十条</w:t>
      </w:r>
      <w:r>
        <w:rPr>
          <w:rStyle w:val="21"/>
          <w:rFonts w:hint="eastAsia" w:ascii="方正仿宋简体" w:hAnsi="方正仿宋简体" w:eastAsia="方正仿宋简体" w:cs="方正仿宋简体"/>
          <w:color w:val="333333"/>
          <w:sz w:val="26"/>
          <w:szCs w:val="26"/>
        </w:rPr>
        <w:t xml:space="preserve"> 申请专利和行使专利权应当遵循诚实信用原则。不得滥用专利权损害公共利益或者他人合法权益。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滥用专利权，排除或者限制竞争，构成垄断行为的，依照《中华人民共和国反垄断法》处理。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第二十一条 </w:t>
      </w:r>
      <w:r>
        <w:rPr>
          <w:rStyle w:val="21"/>
          <w:rFonts w:hint="eastAsia" w:ascii="方正仿宋简体" w:hAnsi="方正仿宋简体" w:eastAsia="方正仿宋简体" w:cs="方正仿宋简体"/>
          <w:color w:val="333333"/>
          <w:sz w:val="26"/>
          <w:szCs w:val="26"/>
        </w:rPr>
        <w:t>国务院专利行政部门应当按照客观、公正、准确、及时的要求，依法处理有关专利的申请和请求。</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国务院专利行政部门应当加强专利信息公共服务体系建设，完整、准确、及时发布专利信息，提供专利基础数据，定期出版专利公报，促进专利信息传播与利用。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在专利申请公布或者公告前，国务院专利行政部门的工作人员及有关人员对其内容负有保密责任。</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授予专利权的条件</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第二十二条</w:t>
      </w:r>
      <w:r>
        <w:rPr>
          <w:rStyle w:val="21"/>
          <w:rFonts w:hint="eastAsia" w:ascii="方正仿宋简体" w:hAnsi="方正仿宋简体" w:eastAsia="方正仿宋简体" w:cs="方正仿宋简体"/>
          <w:color w:val="333333"/>
          <w:sz w:val="26"/>
          <w:szCs w:val="26"/>
        </w:rPr>
        <w:t xml:space="preserve"> 授予专利权的发明和实用新型，应当具备新颖性、创造性和实用性。</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新颖性，是指该发明或者实用新型不属于现有技术；也没有任何单位或者个人就同样的发明或者实用新型在申请日以前向国务院专利行政部门提出过申请，并记载在申请日以后公布的专利申请文件或者公告的专利文件中。</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创造性，是指与现有技术相比，该发明具有突出的实质性特点和显著的进步，该实用新型具有实质性特点和进步。</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实用性，是指该发明或者实用新型能够制造或者使用，并且能够产生积极效果。</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本法所称现有技术，是指申请日以前在国内外为公众所知的技术。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第二十三条</w:t>
      </w:r>
      <w:r>
        <w:rPr>
          <w:rStyle w:val="21"/>
          <w:rFonts w:hint="eastAsia" w:ascii="方正仿宋简体" w:hAnsi="方正仿宋简体" w:eastAsia="方正仿宋简体" w:cs="方正仿宋简体"/>
          <w:color w:val="333333"/>
          <w:sz w:val="26"/>
          <w:szCs w:val="26"/>
        </w:rPr>
        <w:t xml:space="preserve"> 授予专利权的外观设计，应当不属于现有设计；也没有任何单位或者个人就同样的外观设计在申请日以前向国务院专利行政部门提出过申请，并记载在申请日以后公告的专利文件中。</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授予专利权的外观设计与现有设计或者现有设计特征的组合相比，应当具有明显区别。</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授予专利权的外观设计不得与他人在申请日以前已经取得的合法权利相冲突。</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本法所称现有设计，是指申请日以前在国内外为公众所知的设计。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第二十四条</w:t>
      </w:r>
      <w:r>
        <w:rPr>
          <w:rStyle w:val="21"/>
          <w:rFonts w:hint="eastAsia" w:ascii="方正仿宋简体" w:hAnsi="方正仿宋简体" w:eastAsia="方正仿宋简体" w:cs="方正仿宋简体"/>
          <w:color w:val="333333"/>
          <w:sz w:val="26"/>
          <w:szCs w:val="26"/>
        </w:rPr>
        <w:t xml:space="preserve"> 申请专利的发明创造在申请日以前六个月内，有下列情形之一的，不丧失新颖性：</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（一）在国家出现紧急状态或者非常情况时，为公共利益目的首次公开的；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（二）在中国政府主办或者承认的国际展览会上首次展出的；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（三）在规定的学术会议或者技术会议上首次发表的；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（四）他人未经申请人同意而泄露其内容的。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第二十五条</w:t>
      </w:r>
      <w:r>
        <w:rPr>
          <w:rStyle w:val="21"/>
          <w:rFonts w:hint="eastAsia" w:ascii="方正仿宋简体" w:hAnsi="方正仿宋简体" w:eastAsia="方正仿宋简体" w:cs="方正仿宋简体"/>
          <w:color w:val="333333"/>
          <w:sz w:val="26"/>
          <w:szCs w:val="26"/>
        </w:rPr>
        <w:t xml:space="preserve"> 对下列各项，不授予专利权：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（一）科学发现；</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（二）智力活动的规则和方法；</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（三）疾病的诊断和治疗方法；</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（四）动物和植物品种；</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（五）原子核变换方法以及用原子核变换方法获得的物质；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（六）对平面印刷品的图案、色彩或者二者的结合作出的主要起标识作用的设计。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对前款第（四）项所列产品的生产方法，可以依照本法规定授予专利权。</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专利的申请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第二十六条</w:t>
      </w:r>
      <w:r>
        <w:rPr>
          <w:rStyle w:val="21"/>
          <w:rFonts w:hint="eastAsia" w:ascii="方正仿宋简体" w:hAnsi="方正仿宋简体" w:eastAsia="方正仿宋简体" w:cs="方正仿宋简体"/>
          <w:color w:val="333333"/>
          <w:sz w:val="26"/>
          <w:szCs w:val="26"/>
        </w:rPr>
        <w:t xml:space="preserve"> 申请发明或者实用新型专利的，应当提交请求书、说明书及其摘要和权利要求书等文件。</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请求书应当写明发明或者实用新型的名称，发明人的姓名，申请人姓名或者名称、地址，以及其他事项。</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说明书应当对发明或者实用新型作出清楚、完整的说明，以所属技术领域的技术人员能够实现为准；必要的时候，应当有附图。摘要应当简要说明发明或者实用新型的技术要点。</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权利要求书应当以说明书为依据，清楚、简要地限定要求专利保护的范围。</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依赖遗传资源完成的发明创造，申请人应当在专利申请文件中说明该遗传资源的直接来源和原始来源；申请人无法说明原始来源的，应当陈述理由。</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第二十七条</w:t>
      </w:r>
      <w:r>
        <w:rPr>
          <w:rStyle w:val="21"/>
          <w:rFonts w:hint="eastAsia" w:ascii="方正仿宋简体" w:hAnsi="方正仿宋简体" w:eastAsia="方正仿宋简体" w:cs="方正仿宋简体"/>
          <w:color w:val="333333"/>
          <w:sz w:val="26"/>
          <w:szCs w:val="26"/>
        </w:rPr>
        <w:t xml:space="preserve"> 申请外观设计专利的，应当提交请求书、该外观设计的图片或者照片以及对该外观设计的简要说明等文件。</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申请人提交的有关图片或者照片应当清楚地显示要求专利保护的产品的外观设计。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第二十八条</w:t>
      </w:r>
      <w:r>
        <w:rPr>
          <w:rStyle w:val="21"/>
          <w:rFonts w:hint="eastAsia" w:ascii="方正仿宋简体" w:hAnsi="方正仿宋简体" w:eastAsia="方正仿宋简体" w:cs="方正仿宋简体"/>
          <w:color w:val="333333"/>
          <w:sz w:val="26"/>
          <w:szCs w:val="26"/>
        </w:rPr>
        <w:t xml:space="preserve"> 国务院专利行政部门收到专利申请文件之日为申请日。如果申请文件是邮寄的，以寄出的邮戳日为申请日。</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第二十九条</w:t>
      </w:r>
      <w:r>
        <w:rPr>
          <w:rStyle w:val="21"/>
          <w:rFonts w:hint="eastAsia" w:ascii="方正仿宋简体" w:hAnsi="方正仿宋简体" w:eastAsia="方正仿宋简体" w:cs="方正仿宋简体"/>
          <w:color w:val="333333"/>
          <w:sz w:val="26"/>
          <w:szCs w:val="26"/>
        </w:rPr>
        <w:t xml:space="preserve"> 申请人自发明或者实用新型在外国第一次提出专利申请之日起十二个月内，或者自外观设计在外国第一次提出专利申请之日起六个月内，又在中国就相同主题提出专利申请的，依照该外国同中国签订的协议或者共同参加的国际条约，或者依照相互承认优先权的原则，可以享有优先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申请人自发明或者实用新型在中国第一次提出专利申请之日起十二个月内，或者自外观设计在中国第一次提出专利申请之日起六个月内，又向国务院专利行政部门就相同主题提出专利申请的，可以享有优先权。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第三十条</w:t>
      </w:r>
      <w:r>
        <w:rPr>
          <w:rStyle w:val="21"/>
          <w:rFonts w:hint="eastAsia" w:ascii="方正仿宋简体" w:hAnsi="方正仿宋简体" w:eastAsia="方正仿宋简体" w:cs="方正仿宋简体"/>
          <w:color w:val="333333"/>
          <w:sz w:val="26"/>
          <w:szCs w:val="26"/>
        </w:rPr>
        <w:t xml:space="preserve"> 申请人要求发明、实用新型专利优先权的，应当在申请的时候提出书面声明，并且在第一次提出申请之日起十六个月内，提交第一次提出的专利申请文件的副本。</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申请人要求外观设计专利优先权的，应当在申请的时候提出书面声明，并且在三个月内提交第一次提出的专利申请文件的副本。</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申请人未提出书面声明或者逾期未提交专利申请文件副本的，视为未要求优先权。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第三十一条</w:t>
      </w:r>
      <w:r>
        <w:rPr>
          <w:rStyle w:val="21"/>
          <w:rFonts w:hint="eastAsia" w:ascii="方正仿宋简体" w:hAnsi="方正仿宋简体" w:eastAsia="方正仿宋简体" w:cs="方正仿宋简体"/>
          <w:color w:val="333333"/>
          <w:sz w:val="26"/>
          <w:szCs w:val="26"/>
        </w:rPr>
        <w:t xml:space="preserve"> 一件发明或者实用新型专利申请应当限于一项发明或者实用新型。属于一个总的发明构思的两项以上的发明或者实用新型，可以作为一件申请提出。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一件外观设计专利申请应当限于一项外观设计。同一产品两项以上的相似外观设计，或者用于同一类别并且成套出售或者使用的产品的两项以上外观设计，可以作为一件申请提出。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第三十二条</w:t>
      </w:r>
      <w:r>
        <w:rPr>
          <w:rStyle w:val="21"/>
          <w:rFonts w:hint="eastAsia" w:ascii="方正仿宋简体" w:hAnsi="方正仿宋简体" w:eastAsia="方正仿宋简体" w:cs="方正仿宋简体"/>
          <w:color w:val="333333"/>
          <w:sz w:val="26"/>
          <w:szCs w:val="26"/>
        </w:rPr>
        <w:t xml:space="preserve"> 申请人可以在被授予专利权之前随时撤回其专利申请。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第三十三条</w:t>
      </w:r>
      <w:r>
        <w:rPr>
          <w:rStyle w:val="21"/>
          <w:rFonts w:hint="eastAsia" w:ascii="方正仿宋简体" w:hAnsi="方正仿宋简体" w:eastAsia="方正仿宋简体" w:cs="方正仿宋简体"/>
          <w:color w:val="333333"/>
          <w:sz w:val="26"/>
          <w:szCs w:val="26"/>
        </w:rPr>
        <w:t xml:space="preserve"> 申请人可以对其专利申请文件进行修改，但是，对发明和实用新型专利申请文件的修改不得超出原说明书和权利要求书记载的范围，对外观设计专利申请文件的修改不得超出原图片或者照片表示的范围。</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专利申请的审查和批准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第三十四条</w:t>
      </w:r>
      <w:r>
        <w:rPr>
          <w:rStyle w:val="21"/>
          <w:rFonts w:hint="eastAsia" w:ascii="方正仿宋简体" w:hAnsi="方正仿宋简体" w:eastAsia="方正仿宋简体" w:cs="方正仿宋简体"/>
          <w:color w:val="333333"/>
          <w:sz w:val="26"/>
          <w:szCs w:val="26"/>
        </w:rPr>
        <w:t xml:space="preserve"> 国务院专利行政部门收到发明专利申请后，经初步审查认为符合本法要求的，自申请日起满十八个月，即行公布。国务院专利行政部门可以根据申请人的请求早日公布其申请。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第三十五条</w:t>
      </w:r>
      <w:r>
        <w:rPr>
          <w:rStyle w:val="21"/>
          <w:rFonts w:hint="eastAsia" w:ascii="方正仿宋简体" w:hAnsi="方正仿宋简体" w:eastAsia="方正仿宋简体" w:cs="方正仿宋简体"/>
          <w:color w:val="333333"/>
          <w:sz w:val="26"/>
          <w:szCs w:val="26"/>
        </w:rPr>
        <w:t xml:space="preserve"> 发明专利申请自申请日起三年内，国务院专利行政部门可以根据申请人随时提出的请求，对其申请进行实质审查；申请人无正当理由逾期不请求实质审查的，该申请即被视为撤回。</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国务院专利行政部门认为必要的时候，可以自行对发明专利申请进行实质审查。</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第三十六条 </w:t>
      </w:r>
      <w:r>
        <w:rPr>
          <w:rStyle w:val="21"/>
          <w:rFonts w:hint="eastAsia" w:ascii="方正仿宋简体" w:hAnsi="方正仿宋简体" w:eastAsia="方正仿宋简体" w:cs="方正仿宋简体"/>
          <w:color w:val="333333"/>
          <w:sz w:val="26"/>
          <w:szCs w:val="26"/>
        </w:rPr>
        <w:t>发明专利的申请人请求实质审查的时候，应当提交在申请日前与其发明有关的参考资料。</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发明专利已经在外国提出过申请的，国务院专利行政部门可以要求申请人在指定期限内提交该国为审查其申请进行检索的资料或者审查结果的资料；无正当理由逾期不提交的，该申请即被视为撤回。</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第三十七条</w:t>
      </w:r>
      <w:r>
        <w:rPr>
          <w:rStyle w:val="21"/>
          <w:rFonts w:hint="eastAsia" w:ascii="方正仿宋简体" w:hAnsi="方正仿宋简体" w:eastAsia="方正仿宋简体" w:cs="方正仿宋简体"/>
          <w:color w:val="333333"/>
          <w:sz w:val="26"/>
          <w:szCs w:val="26"/>
        </w:rPr>
        <w:t xml:space="preserve"> 国务院专利行政部门对发明专利申请进行实质审查后，认为不符合本法规定的，应当通知申请人，要求其在指定的期限内陈述意见，或者对其申请进行修改；无正当理由逾期不答复的，该申请即被视为撤回。</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第三十八条</w:t>
      </w:r>
      <w:r>
        <w:rPr>
          <w:rStyle w:val="21"/>
          <w:rFonts w:hint="eastAsia" w:ascii="方正仿宋简体" w:hAnsi="方正仿宋简体" w:eastAsia="方正仿宋简体" w:cs="方正仿宋简体"/>
          <w:color w:val="333333"/>
          <w:sz w:val="26"/>
          <w:szCs w:val="26"/>
        </w:rPr>
        <w:t xml:space="preserve"> 发明专利申请经申请人陈述意见或者进行修改后，国务院专利行政部门仍然认为不符合本法规定的，应当予以驳回。</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第三十九条</w:t>
      </w:r>
      <w:r>
        <w:rPr>
          <w:rStyle w:val="21"/>
          <w:rFonts w:hint="eastAsia" w:ascii="方正仿宋简体" w:hAnsi="方正仿宋简体" w:eastAsia="方正仿宋简体" w:cs="方正仿宋简体"/>
          <w:color w:val="333333"/>
          <w:sz w:val="26"/>
          <w:szCs w:val="26"/>
        </w:rPr>
        <w:t xml:space="preserve"> 发明专利申请经实质审查没有发现驳回理由的，由国务院专利行政部门作出授予发明专利权的决定，发给发明专利证书，同时予以登记和公告。发明专利权自公告之日起生效。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第四十条</w:t>
      </w:r>
      <w:r>
        <w:rPr>
          <w:rStyle w:val="21"/>
          <w:rFonts w:hint="eastAsia" w:ascii="方正仿宋简体" w:hAnsi="方正仿宋简体" w:eastAsia="方正仿宋简体" w:cs="方正仿宋简体"/>
          <w:color w:val="333333"/>
          <w:sz w:val="26"/>
          <w:szCs w:val="26"/>
        </w:rPr>
        <w:t xml:space="preserve"> 实用新型和外观设计专利申请经初步审查没有发现驳回理由的，由国务院专利行政部门作出授予实用新型专利权或者外观设计专利权的决定，发给相应的专利证书，同时予以登记和公告。实用新型专利权和外观设计专利权自公告之日起生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第四十一条</w:t>
      </w:r>
      <w:r>
        <w:rPr>
          <w:rStyle w:val="21"/>
          <w:rFonts w:hint="eastAsia" w:ascii="方正仿宋简体" w:hAnsi="方正仿宋简体" w:eastAsia="方正仿宋简体" w:cs="方正仿宋简体"/>
          <w:color w:val="333333"/>
          <w:sz w:val="26"/>
          <w:szCs w:val="26"/>
        </w:rPr>
        <w:t xml:space="preserve"> 专利申请人对国务院专利行政部门驳回申请的决定不服的，可以自收到通知之日起三个月内向国务院专利行政部门请求复审。国务院专利行政部门复审后，作出决定，并通知专利申请人。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专利申请人对国务院专利行政部门的复审决定不服的，可以自收到通知之日起三个月内向人民法院起诉。</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专利权的期限、终止和无效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第四十二条</w:t>
      </w:r>
      <w:r>
        <w:rPr>
          <w:rStyle w:val="21"/>
          <w:rFonts w:hint="eastAsia" w:ascii="方正仿宋简体" w:hAnsi="方正仿宋简体" w:eastAsia="方正仿宋简体" w:cs="方正仿宋简体"/>
          <w:color w:val="333333"/>
          <w:sz w:val="26"/>
          <w:szCs w:val="26"/>
        </w:rPr>
        <w:t xml:space="preserve"> 发明专利权的期限为二十年，实用新型专利权的期限为十年，外观设计专利权的期限为十五年，均自申请日起计算。</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自发明专利申请日起满四年，且自实质审查请求之日起满三年后授予发明专利权的，国务院专利行政部门应专利权人的请求，就发明专利在授权过程中的不合理延迟给予专利权期限补偿，但由申请人引起的不合理延迟除外。</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为补偿新药上市审评审批占用的时间，对在中国获得上市许可的新药相关发明专利，国务院专利行政部门应专利权人的请求给予专利权期限补偿。补偿期限不超过五年，新药批准上市后总有效专利权期限不超过十四年。</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第四十三条</w:t>
      </w:r>
      <w:r>
        <w:rPr>
          <w:rStyle w:val="21"/>
          <w:rFonts w:hint="eastAsia" w:ascii="方正仿宋简体" w:hAnsi="方正仿宋简体" w:eastAsia="方正仿宋简体" w:cs="方正仿宋简体"/>
          <w:color w:val="333333"/>
          <w:sz w:val="26"/>
          <w:szCs w:val="26"/>
        </w:rPr>
        <w:t xml:space="preserve"> 专利权人应当自被授予专利权的当年开始缴纳年费。</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第四十四条 </w:t>
      </w:r>
      <w:r>
        <w:rPr>
          <w:rStyle w:val="21"/>
          <w:rFonts w:hint="eastAsia" w:ascii="方正仿宋简体" w:hAnsi="方正仿宋简体" w:eastAsia="方正仿宋简体" w:cs="方正仿宋简体"/>
          <w:color w:val="333333"/>
          <w:sz w:val="26"/>
          <w:szCs w:val="26"/>
        </w:rPr>
        <w:t>有下列情形之一的，专利权在期限届满前终止：</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（一）没有按照规定缴纳年费的；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（二）专利权人以书面声明放弃其专利权的。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专利权在期限届满前终止的，由国务院专利行政部门登记和公告。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第四十五条</w:t>
      </w:r>
      <w:r>
        <w:rPr>
          <w:rStyle w:val="21"/>
          <w:rFonts w:hint="eastAsia" w:ascii="方正仿宋简体" w:hAnsi="方正仿宋简体" w:eastAsia="方正仿宋简体" w:cs="方正仿宋简体"/>
          <w:color w:val="333333"/>
          <w:sz w:val="26"/>
          <w:szCs w:val="26"/>
        </w:rPr>
        <w:t xml:space="preserve"> 自国务院专利行政部门公告授予专利权之日起，任何单位或者个人认为该专利权的授予不符合本法有关规定的，可以请求国务院专利行政部门宣告该专利权无效。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第四十六条</w:t>
      </w:r>
      <w:r>
        <w:rPr>
          <w:rStyle w:val="21"/>
          <w:rFonts w:hint="eastAsia" w:ascii="方正仿宋简体" w:hAnsi="方正仿宋简体" w:eastAsia="方正仿宋简体" w:cs="方正仿宋简体"/>
          <w:color w:val="333333"/>
          <w:sz w:val="26"/>
          <w:szCs w:val="26"/>
        </w:rPr>
        <w:t xml:space="preserve"> 国务院专利行政部门对宣告专利权无效的请求应当及时审查和作出决定，并通知请求人和专利权人。宣告专利权无效的决定，由国务院专利行政部门登记和公告。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对国务院专利行政部门宣告专利权无效或者维持专利权的决定不服的，可以自收到通知之日起三个月内向人民法院起诉。人民法院应当通知无效宣告请求程序的对方当事人作为第三人参加诉讼。</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第四十七条</w:t>
      </w:r>
      <w:r>
        <w:rPr>
          <w:rStyle w:val="21"/>
          <w:rFonts w:hint="eastAsia" w:ascii="方正仿宋简体" w:hAnsi="方正仿宋简体" w:eastAsia="方正仿宋简体" w:cs="方正仿宋简体"/>
          <w:color w:val="333333"/>
          <w:sz w:val="26"/>
          <w:szCs w:val="26"/>
        </w:rPr>
        <w:t xml:space="preserve"> 宣告无效的专利权视为自始即不存在。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宣告专利权无效的决定，对在宣告专利权无效前人民法院作出并已执行的专利侵权的判决、调解书，已经履行或者强制执行的专利侵权纠纷处理决定，以及已经履行的专利实施许可合同和专利权转让合同，不具有追溯力。但是因专利权人的恶意给他人造成的损失，应当给予赔偿。</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依照前款规定不返还专利侵权赔偿金、专利使用费、专利权转让费，明显违反公平原则的，应当全部或者部分返还。</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专利实施的特别许可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第四十八条</w:t>
      </w:r>
      <w:r>
        <w:rPr>
          <w:rStyle w:val="21"/>
          <w:rFonts w:hint="eastAsia" w:ascii="方正仿宋简体" w:hAnsi="方正仿宋简体" w:eastAsia="方正仿宋简体" w:cs="方正仿宋简体"/>
          <w:color w:val="333333"/>
          <w:sz w:val="26"/>
          <w:szCs w:val="26"/>
        </w:rPr>
        <w:t xml:space="preserve"> 国务院专利行政部门、地方人民政府管理专利工作的部门应当会同同级相关部门采取措施，加强专利公共服务，促进专利实施和运用。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第四十九条</w:t>
      </w:r>
      <w:r>
        <w:rPr>
          <w:rStyle w:val="21"/>
          <w:rFonts w:hint="eastAsia" w:ascii="方正仿宋简体" w:hAnsi="方正仿宋简体" w:eastAsia="方正仿宋简体" w:cs="方正仿宋简体"/>
          <w:color w:val="333333"/>
          <w:sz w:val="26"/>
          <w:szCs w:val="26"/>
        </w:rPr>
        <w:t xml:space="preserve"> 国有企业事业单位的发明专利，对国家利益或者公共利益具有重大意义的，国务院有关主管部门和省、自治区、直辖市人民政府报经国务院批准，可以决定在批准的范围内推广应用，允许指定的单位实施，由实施单位按照国家规定向专利权人支付使用费。</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第五十条</w:t>
      </w:r>
      <w:r>
        <w:rPr>
          <w:rStyle w:val="21"/>
          <w:rFonts w:hint="eastAsia" w:ascii="方正仿宋简体" w:hAnsi="方正仿宋简体" w:eastAsia="方正仿宋简体" w:cs="方正仿宋简体"/>
          <w:color w:val="333333"/>
          <w:sz w:val="26"/>
          <w:szCs w:val="26"/>
        </w:rPr>
        <w:t xml:space="preserve"> 专利权人自愿以书面方式向国务院专利行政部门声明愿意许可任何单位或者个人实施其专利，并明确许可使用费支付方式、标准的，由国务院专利行政部门予以公告，实行开放许可。就实用新型、外观设计专利提出开放许可声明的，应当提供专利权评价报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专利权人撤回开放许可声明的，应当以书面方式提出，并由国务院专利行政部门予以公告。开放许可声明被公告撤回的，不影响在先给予的开放许可的效力。</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第五十一条</w:t>
      </w:r>
      <w:r>
        <w:rPr>
          <w:rStyle w:val="21"/>
          <w:rFonts w:hint="eastAsia" w:ascii="方正仿宋简体" w:hAnsi="方正仿宋简体" w:eastAsia="方正仿宋简体" w:cs="方正仿宋简体"/>
          <w:color w:val="333333"/>
          <w:sz w:val="26"/>
          <w:szCs w:val="26"/>
        </w:rPr>
        <w:t xml:space="preserve"> 任何单位或者个人有意愿实施开放许可的专利的，以书面方式通知专利权人，并依照公告的许可使用费支付方式、标准支付许可使用费后，即获得专利实施许可。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开放许可实施期间，对专利权人缴纳专利年费相应给予减免。</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实行开放许可的专利权人可以与被许可人就许可使用费进行协商后给予普通许可，但不得就该专利给予独占或者排他许可。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第五十二条</w:t>
      </w:r>
      <w:r>
        <w:rPr>
          <w:rStyle w:val="21"/>
          <w:rFonts w:hint="eastAsia" w:ascii="方正仿宋简体" w:hAnsi="方正仿宋简体" w:eastAsia="方正仿宋简体" w:cs="方正仿宋简体"/>
          <w:color w:val="333333"/>
          <w:sz w:val="26"/>
          <w:szCs w:val="26"/>
        </w:rPr>
        <w:t xml:space="preserve"> 当事人就实施开放许可发生纠纷的，由当事人协商解决；不愿协商或者协商不成的，可以请求国务院专利行政部门进行调解，也可以向人民法院起诉。</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第五十三条</w:t>
      </w:r>
      <w:r>
        <w:rPr>
          <w:rStyle w:val="21"/>
          <w:rFonts w:hint="eastAsia" w:ascii="方正仿宋简体" w:hAnsi="方正仿宋简体" w:eastAsia="方正仿宋简体" w:cs="方正仿宋简体"/>
          <w:color w:val="333333"/>
          <w:sz w:val="26"/>
          <w:szCs w:val="26"/>
        </w:rPr>
        <w:t xml:space="preserve"> 有下列情形之一的，国务院专利行政部门根据具备实施条件的单位或者个人的申请，可以给予实施发明专利或者实用新型专利的强制许可：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（一）专利权人自专利权被授予之日起满三年，且自提出专利申请之日起满四年，无正当理由未实施或者未充分实施其专利的；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（二）专利权人行使专利权的行为被依法认定为垄断行为，为消除或者减少该行为对竞争产生的不利影响的。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第五十四条</w:t>
      </w:r>
      <w:r>
        <w:rPr>
          <w:rStyle w:val="21"/>
          <w:rFonts w:hint="eastAsia" w:ascii="方正仿宋简体" w:hAnsi="方正仿宋简体" w:eastAsia="方正仿宋简体" w:cs="方正仿宋简体"/>
          <w:color w:val="333333"/>
          <w:sz w:val="26"/>
          <w:szCs w:val="26"/>
        </w:rPr>
        <w:t xml:space="preserve"> 在国家出现紧急状态或者非常情况时，或者为了公共利益的目的，国务院专利行政部门可以给予实施发明专利或者实用新型专利的强制许可。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第五十五条</w:t>
      </w:r>
      <w:r>
        <w:rPr>
          <w:rStyle w:val="21"/>
          <w:rFonts w:hint="eastAsia" w:ascii="方正仿宋简体" w:hAnsi="方正仿宋简体" w:eastAsia="方正仿宋简体" w:cs="方正仿宋简体"/>
          <w:color w:val="333333"/>
          <w:sz w:val="26"/>
          <w:szCs w:val="26"/>
        </w:rPr>
        <w:t xml:space="preserve"> 为了公共健康目的，对取得专利权的药品，国务院专利行政部门可以给予制造并将其出口到符合中华人民共和国参加的有关国际条约规定的国家或者地区的强制许可。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第五十六条</w:t>
      </w:r>
      <w:r>
        <w:rPr>
          <w:rStyle w:val="21"/>
          <w:rFonts w:hint="eastAsia" w:ascii="方正仿宋简体" w:hAnsi="方正仿宋简体" w:eastAsia="方正仿宋简体" w:cs="方正仿宋简体"/>
          <w:color w:val="333333"/>
          <w:sz w:val="26"/>
          <w:szCs w:val="26"/>
        </w:rPr>
        <w:t xml:space="preserve"> 一项取得专利权的发明或者实用新型比前已经取得专利权的发明或者实用新型具有显著经济意义的重大技术进步，其实施又有赖于前一发明或者实用新型的实施的，国务院专利行政部门根据后一专利权人的申请，可以给予实施前一发明或者实用新型的强制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在依照前款规定给予实施强制许可的情形下，国务院专利行政部门根据前一专利权人的申请，也可以给予实施后一发明或者实用新型的强制许可。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第五十七条 </w:t>
      </w:r>
      <w:r>
        <w:rPr>
          <w:rStyle w:val="21"/>
          <w:rFonts w:hint="eastAsia" w:ascii="方正仿宋简体" w:hAnsi="方正仿宋简体" w:eastAsia="方正仿宋简体" w:cs="方正仿宋简体"/>
          <w:color w:val="333333"/>
          <w:sz w:val="26"/>
          <w:szCs w:val="26"/>
        </w:rPr>
        <w:t>强制许可涉及的发明创造为半导体技术的，其实施限于公共利益的目的和本法第五十三条第（二）项规定的情形。</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第五十八条</w:t>
      </w:r>
      <w:r>
        <w:rPr>
          <w:rStyle w:val="21"/>
          <w:rFonts w:hint="eastAsia" w:ascii="方正仿宋简体" w:hAnsi="方正仿宋简体" w:eastAsia="方正仿宋简体" w:cs="方正仿宋简体"/>
          <w:color w:val="333333"/>
          <w:sz w:val="26"/>
          <w:szCs w:val="26"/>
        </w:rPr>
        <w:t xml:space="preserve"> 除依照本法第五十三条第（二）项、第五十五条规定给予的强制许可外，强制许可的实施应当主要为了供应国内市场。</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 xml:space="preserve">第五十九条 </w:t>
      </w:r>
      <w:r>
        <w:rPr>
          <w:rStyle w:val="21"/>
          <w:rFonts w:hint="eastAsia" w:ascii="方正仿宋简体" w:hAnsi="方正仿宋简体" w:eastAsia="方正仿宋简体" w:cs="方正仿宋简体"/>
          <w:color w:val="333333"/>
          <w:sz w:val="26"/>
          <w:szCs w:val="26"/>
        </w:rPr>
        <w:t>依照本法第五十三条第（一）项、第五十六条规定申请强制许可的单位或者个人应当提供证据，证明其以合理的条件请求专利权人许可其实施专利，但未能在合理的时间内获得许可。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第六十条</w:t>
      </w:r>
      <w:r>
        <w:rPr>
          <w:rStyle w:val="21"/>
          <w:rFonts w:hint="eastAsia" w:ascii="方正仿宋简体" w:hAnsi="方正仿宋简体" w:eastAsia="方正仿宋简体" w:cs="方正仿宋简体"/>
          <w:color w:val="333333"/>
          <w:sz w:val="26"/>
          <w:szCs w:val="26"/>
        </w:rPr>
        <w:t xml:space="preserve"> 国务院专利行政部门作出的给予实施强制许可的决定，应当及时通知专利权人，并予以登记和公告。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给予实施强制许可的决定，应当根据强制许可的理由规定实施的范围和时间。强制许可的理由消除并不再发生时，国务院专利行政部门应当根据专利权人的请求，经审查后作出终止实施强制许可的决定。</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第六十一条</w:t>
      </w:r>
      <w:r>
        <w:rPr>
          <w:rStyle w:val="21"/>
          <w:rFonts w:hint="eastAsia" w:ascii="方正仿宋简体" w:hAnsi="方正仿宋简体" w:eastAsia="方正仿宋简体" w:cs="方正仿宋简体"/>
          <w:color w:val="333333"/>
          <w:sz w:val="26"/>
          <w:szCs w:val="26"/>
        </w:rPr>
        <w:t xml:space="preserve"> 取得实施强制许可的单位或者个人不享有独占的实施权，并且无权允许他人实施。</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第六十二条</w:t>
      </w:r>
      <w:r>
        <w:rPr>
          <w:rStyle w:val="21"/>
          <w:rFonts w:hint="eastAsia" w:ascii="方正仿宋简体" w:hAnsi="方正仿宋简体" w:eastAsia="方正仿宋简体" w:cs="方正仿宋简体"/>
          <w:color w:val="333333"/>
          <w:sz w:val="26"/>
          <w:szCs w:val="26"/>
        </w:rPr>
        <w:t xml:space="preserve"> 取得实施强制许可的单位或者个人应当付给专利权人合理的使用费，或者依照中华人民共和国参加的有关国际条约的规定处理使用费问题。付给使用费的，其数额由双方协商；双方不能达成协议的，由国务院专利行政部门裁决。</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第六十三条</w:t>
      </w:r>
      <w:r>
        <w:rPr>
          <w:rStyle w:val="21"/>
          <w:rFonts w:hint="eastAsia" w:ascii="方正仿宋简体" w:hAnsi="方正仿宋简体" w:eastAsia="方正仿宋简体" w:cs="方正仿宋简体"/>
          <w:color w:val="333333"/>
          <w:sz w:val="26"/>
          <w:szCs w:val="26"/>
        </w:rPr>
        <w:t xml:space="preserve"> 专利权人对国务院专利行政部门关于实施强制许可的决定不服的，专利权人和取得实施强制许可的单位或者个人对国务院专利行政部门关于实施强制许可的使用费的裁决不服的，可以自收到通知之日起三个月内向人民法院起诉。</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专利权的保护</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第六十四条</w:t>
      </w:r>
      <w:r>
        <w:rPr>
          <w:rStyle w:val="21"/>
          <w:rFonts w:hint="eastAsia" w:ascii="方正仿宋简体" w:hAnsi="方正仿宋简体" w:eastAsia="方正仿宋简体" w:cs="方正仿宋简体"/>
          <w:color w:val="333333"/>
          <w:sz w:val="26"/>
          <w:szCs w:val="26"/>
        </w:rPr>
        <w:t xml:space="preserve"> 发明或者实用新型专利权的保护范围以其权利要求的内容为准，说明书及附图可以用于解释权利要求的内容。</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外观设计专利权的保护范围以表示在图片或者照片中的该产品的外观设计为准，简要说明可以用于解释图片或者照片所表示的该产品的外观设计。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第六十五条</w:t>
      </w:r>
      <w:r>
        <w:rPr>
          <w:rStyle w:val="21"/>
          <w:rFonts w:hint="eastAsia" w:ascii="方正仿宋简体" w:hAnsi="方正仿宋简体" w:eastAsia="方正仿宋简体" w:cs="方正仿宋简体"/>
          <w:color w:val="333333"/>
          <w:sz w:val="26"/>
          <w:szCs w:val="26"/>
        </w:rPr>
        <w:t xml:space="preserve"> 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第六十六条</w:t>
      </w:r>
      <w:r>
        <w:rPr>
          <w:rStyle w:val="21"/>
          <w:rFonts w:hint="eastAsia" w:ascii="方正仿宋简体" w:hAnsi="方正仿宋简体" w:eastAsia="方正仿宋简体" w:cs="方正仿宋简体"/>
          <w:color w:val="333333"/>
          <w:sz w:val="26"/>
          <w:szCs w:val="26"/>
        </w:rPr>
        <w:t xml:space="preserve"> 专利侵权纠纷涉及新产品制造方法的发明专利的，制造同样产品的单位或者个人应当提供其产品制造方法不同于专利方法的证明。</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专利侵权纠纷涉及实用新型专利或者外观设计专利的，人民法院或者管理专利工作的部门可以要求专利权人或者利害关系人出具由国务院专利行政部门对相关实用新型或者外观设计进行检索、分析和评价后作出的专利权评价报告，作为审理、处理专利侵权纠纷的证据；专利权人、利害关系人或者被控侵权人也可以主动出具专利权评价报告。</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第六十七条</w:t>
      </w:r>
      <w:r>
        <w:rPr>
          <w:rStyle w:val="21"/>
          <w:rFonts w:hint="eastAsia" w:ascii="方正仿宋简体" w:hAnsi="方正仿宋简体" w:eastAsia="方正仿宋简体" w:cs="方正仿宋简体"/>
          <w:color w:val="333333"/>
          <w:sz w:val="26"/>
          <w:szCs w:val="26"/>
        </w:rPr>
        <w:t xml:space="preserve"> 在专利侵权纠纷中，被控侵权人有证据证明其实施的技术或者设计属于现有技术或者现有设计的，不构成侵犯专利权。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第六十八条</w:t>
      </w:r>
      <w:r>
        <w:rPr>
          <w:rStyle w:val="21"/>
          <w:rFonts w:hint="eastAsia" w:ascii="方正仿宋简体" w:hAnsi="方正仿宋简体" w:eastAsia="方正仿宋简体" w:cs="方正仿宋简体"/>
          <w:color w:val="333333"/>
          <w:sz w:val="26"/>
          <w:szCs w:val="26"/>
        </w:rPr>
        <w:t xml:space="preserve">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第六十九条</w:t>
      </w:r>
      <w:r>
        <w:rPr>
          <w:rStyle w:val="21"/>
          <w:rFonts w:hint="eastAsia" w:ascii="方正仿宋简体" w:hAnsi="方正仿宋简体" w:eastAsia="方正仿宋简体" w:cs="方正仿宋简体"/>
          <w:color w:val="333333"/>
          <w:sz w:val="26"/>
          <w:szCs w:val="26"/>
        </w:rPr>
        <w:t xml:space="preserve"> 负责专利执法的部门根据已经取得的证据，对涉嫌假冒专利行为进行查处时，有权采取下列措施：</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（一）询问有关当事人，调查与涉嫌违法行为有关的情况；</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（二）对当事人涉嫌违法行为的场所实施现场检查；</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（三）查阅、复制与涉嫌违法行为有关的合同、发票、账簿以及其他有关资料；</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（四）检查与涉嫌违法行为有关的产品；</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（五）对有证据证明是假冒专利的产品，可以查封或者扣押。</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管理专利工作的部门应专利权人或者利害关系人的请求处理专利侵权纠纷时，可以采取前款第（一）项、第（二）项、第（四）项所列措施。</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负责专利执法的部门、管理专利工作的部门依法行使前两款规定的职权时，当事人应当予以协助、配合，不得拒绝、阻挠。</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第七十条</w:t>
      </w:r>
      <w:r>
        <w:rPr>
          <w:rStyle w:val="21"/>
          <w:rFonts w:hint="eastAsia" w:ascii="方正仿宋简体" w:hAnsi="方正仿宋简体" w:eastAsia="方正仿宋简体" w:cs="方正仿宋简体"/>
          <w:color w:val="333333"/>
          <w:sz w:val="26"/>
          <w:szCs w:val="26"/>
        </w:rPr>
        <w:t xml:space="preserve"> 国务院专利行政部门可以应专利权人或者利害关系人的请求处理在全国有重大影响的专利侵权纠纷。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地方人民政府管理专利工作的部门应专利权人或者利害关系人请求处理专利侵权纠纷，对在本行政区域内侵犯其同一专利权的案件可以合并处理；对跨区域侵犯其同一专利权的案件可以请求上级地方人民政府管理专利工作的部门处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第七十一条</w:t>
      </w:r>
      <w:r>
        <w:rPr>
          <w:rStyle w:val="21"/>
          <w:rFonts w:hint="eastAsia" w:ascii="方正仿宋简体" w:hAnsi="方正仿宋简体" w:eastAsia="方正仿宋简体" w:cs="方正仿宋简体"/>
          <w:color w:val="333333"/>
          <w:sz w:val="26"/>
          <w:szCs w:val="26"/>
        </w:rPr>
        <w:t xml:space="preserve"> 侵犯专利权的赔偿数额按照权利人因被侵权所受到的实际损失或者侵权人因侵权所获得的利益确定；权利人的损失或者侵权人获得的利益难以确定的，参照该专利许可使用费的倍数合理确定。对故意侵犯专利权，情节严重的，可以在按照上述方法确定数额的一倍以上五倍以下确定赔偿数额。</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权利人的损失、侵权人获得的利益和专利许可使用费均难以确定的，人民法院可以根据专利权的类型、侵权行为的性质和情节等因素，确定给予三万元以上五百万元以下的赔偿。</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赔偿数额还应当包括权利人为制止侵权行为所支付的合理开支。</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人民法院为确定赔偿数额，在权利人已经尽力举证，而与侵权行为相关的账簿、资料主要由侵权人掌握的情况下，可以责令侵权人提供与侵权行为相关的账簿、资料；侵权人不提供或者提供虚假的账簿、资料的，人民法院可以参考权利人的主张和提供的证据判定赔偿数额。</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第七十二条</w:t>
      </w:r>
      <w:r>
        <w:rPr>
          <w:rStyle w:val="21"/>
          <w:rFonts w:hint="eastAsia" w:ascii="方正仿宋简体" w:hAnsi="方正仿宋简体" w:eastAsia="方正仿宋简体" w:cs="方正仿宋简体"/>
          <w:color w:val="333333"/>
          <w:sz w:val="26"/>
          <w:szCs w:val="26"/>
        </w:rPr>
        <w:t xml:space="preserve"> 专利权人或者利害关系人有证据证明他人正在实施或者即将实施侵犯专利权、妨碍其实现权利的行为，如不及时制止将会使其合法权益受到难以弥补的损害的，可以在起诉前依法向人民法院申请采取财产保全、责令作出一定行为或者禁止作出一定行为的措施。</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第七十三条</w:t>
      </w:r>
      <w:r>
        <w:rPr>
          <w:rStyle w:val="21"/>
          <w:rFonts w:hint="eastAsia" w:ascii="方正仿宋简体" w:hAnsi="方正仿宋简体" w:eastAsia="方正仿宋简体" w:cs="方正仿宋简体"/>
          <w:color w:val="333333"/>
          <w:sz w:val="26"/>
          <w:szCs w:val="26"/>
        </w:rPr>
        <w:t xml:space="preserve"> 为了制止专利侵权行为，在证据可能灭失或者以后难以取得的情况下，专利权人或者利害关系人可以在起诉前依法向人民法院申请保全证据。</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第七十四条</w:t>
      </w:r>
      <w:r>
        <w:rPr>
          <w:rStyle w:val="21"/>
          <w:rFonts w:hint="eastAsia" w:ascii="方正仿宋简体" w:hAnsi="方正仿宋简体" w:eastAsia="方正仿宋简体" w:cs="方正仿宋简体"/>
          <w:color w:val="333333"/>
          <w:sz w:val="26"/>
          <w:szCs w:val="26"/>
        </w:rPr>
        <w:t xml:space="preserve"> 侵犯专利权的诉讼时效为三年，自专利权人或者利害关系人知道或者应当知道侵权行为以及侵权人之日起计算。</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发明专利申请公布后至专利权授予前使用该发明未支付适当使用费的，专利权人要求支付使用费的诉讼时效为三年，自专利权人知道或者应当知道他人使用其发明之日起计算，但是，专利权人于专利权授予之日前即已知道或者应当知道的，自专利权授予之日起计算。</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第七十五条</w:t>
      </w:r>
      <w:r>
        <w:rPr>
          <w:rStyle w:val="21"/>
          <w:rFonts w:hint="eastAsia" w:ascii="方正仿宋简体" w:hAnsi="方正仿宋简体" w:eastAsia="方正仿宋简体" w:cs="方正仿宋简体"/>
          <w:color w:val="333333"/>
          <w:sz w:val="26"/>
          <w:szCs w:val="26"/>
        </w:rPr>
        <w:t xml:space="preserve"> 有下列情形之一的，不视为侵犯专利权：</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（一）专利产品或者依照专利方法直接获得的产品，由专利权人或者经其许可的单位、个人售出后，使用、许诺销售、销售、进口该产品的；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（二）在专利申请日前已经制造相同产品、使用相同方法或者已经作好制造、使用的必要准备，并且仅在原有范围内继续制造、使用的；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（三）临时通过中国领陆、领水、领空的外国运输工具，依照其所属国同中国签订的协议或者共同参加的国际条约，或者依照互惠原则，为运输工具自身需要而在其装置和设备中使用有关专利的；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（四）专为科学研究和实验而使用有关专利的；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（五）为提供行政审批所需要的信息，制造、使用、进口专利药品或者专利医疗器械的，以及专门为其制造、进口专利药品或者专利医疗器械的。</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第七十六条</w:t>
      </w:r>
      <w:r>
        <w:rPr>
          <w:rStyle w:val="21"/>
          <w:rFonts w:hint="eastAsia" w:ascii="方正仿宋简体" w:hAnsi="方正仿宋简体" w:eastAsia="方正仿宋简体" w:cs="方正仿宋简体"/>
          <w:color w:val="333333"/>
          <w:sz w:val="26"/>
          <w:szCs w:val="26"/>
        </w:rPr>
        <w:t xml:space="preserve"> 药品上市审评审批过程中，药品上市许可申请人与有关专利权人或者利害关系人，因申请注册的药品相关的专利权产生纠纷的，相关当事人可以向人民法院起诉，请求就申请注册的药品相关技术方案是否落入他人药品专利权保护范围作出判决。国务院药品监督管理部门在规定的期限内，可以根据人民法院生效裁判作出是否暂停批准相关药品上市的决定。</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药品上市许可申请人与有关专利权人或者利害关系人也可以就申请注册的药品相关的专利权纠纷，向国务院专利行政部门请求行政裁决。</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国务院药品监督管理部门会同国务院专利行政部门制定药品上市许可审批与药品上市许可申请阶段专利权纠纷解决的具体衔接办法，报国务院同意后实施。</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第七十七条</w:t>
      </w:r>
      <w:r>
        <w:rPr>
          <w:rStyle w:val="21"/>
          <w:rFonts w:hint="eastAsia" w:ascii="方正仿宋简体" w:hAnsi="方正仿宋简体" w:eastAsia="方正仿宋简体" w:cs="方正仿宋简体"/>
          <w:color w:val="333333"/>
          <w:sz w:val="26"/>
          <w:szCs w:val="26"/>
        </w:rPr>
        <w:t xml:space="preserve"> 为生产经营目的使用、许诺销售或者销售不知道是未经专利权人许可而制造并售出的专利侵权产品，能证明该产品合法来源的，不承担赔偿责任。</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第七十八条</w:t>
      </w:r>
      <w:r>
        <w:rPr>
          <w:rStyle w:val="21"/>
          <w:rFonts w:hint="eastAsia" w:ascii="方正仿宋简体" w:hAnsi="方正仿宋简体" w:eastAsia="方正仿宋简体" w:cs="方正仿宋简体"/>
          <w:color w:val="333333"/>
          <w:sz w:val="26"/>
          <w:szCs w:val="26"/>
        </w:rPr>
        <w:t xml:space="preserve"> 违反本法第十九条规定向外国申请专利，泄露国家秘密的，由所在单位或者上级主管机关给予行政处分；构成犯罪的，依法追究刑事责任。</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第七十九条</w:t>
      </w:r>
      <w:r>
        <w:rPr>
          <w:rStyle w:val="21"/>
          <w:rFonts w:hint="eastAsia" w:ascii="方正仿宋简体" w:hAnsi="方正仿宋简体" w:eastAsia="方正仿宋简体" w:cs="方正仿宋简体"/>
          <w:color w:val="333333"/>
          <w:sz w:val="26"/>
          <w:szCs w:val="26"/>
        </w:rPr>
        <w:t xml:space="preserve"> 管理专利工作的部门不得参与向社会推荐专利产品等经营活动。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21"/>
          <w:rFonts w:hint="eastAsia" w:ascii="方正仿宋简体" w:hAnsi="方正仿宋简体" w:eastAsia="方正仿宋简体" w:cs="方正仿宋简体"/>
          <w:color w:val="333333"/>
          <w:sz w:val="26"/>
          <w:szCs w:val="26"/>
        </w:rPr>
        <w:t>管理专利工作的部门违反前款规定的，由其上级机关或者监察机关责令改正，消除影响，有违法收入的予以没收；情节严重的，对直接负责的主管人员和其他直接责任人员依法给予处分。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第八十条</w:t>
      </w:r>
      <w:r>
        <w:rPr>
          <w:rStyle w:val="21"/>
          <w:rFonts w:hint="eastAsia" w:ascii="方正仿宋简体" w:hAnsi="方正仿宋简体" w:eastAsia="方正仿宋简体" w:cs="方正仿宋简体"/>
          <w:color w:val="333333"/>
          <w:sz w:val="26"/>
          <w:szCs w:val="26"/>
        </w:rPr>
        <w:t xml:space="preserve"> 从事专利管理工作的国家机关工作人员以及其他有关国家机关工作人员玩忽职守、滥用职权、徇私舞弊，构成犯罪的，依法追究刑事责任；尚不构成犯罪的，依法给予处分。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 附则</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第八十一条</w:t>
      </w:r>
      <w:r>
        <w:rPr>
          <w:rStyle w:val="21"/>
          <w:rFonts w:hint="eastAsia" w:ascii="方正仿宋简体" w:hAnsi="方正仿宋简体" w:eastAsia="方正仿宋简体" w:cs="方正仿宋简体"/>
          <w:color w:val="333333"/>
          <w:sz w:val="26"/>
          <w:szCs w:val="26"/>
        </w:rPr>
        <w:t xml:space="preserve"> 向国务院专利行政部门申请专利和办理其他手续，应当按照规定缴纳费用。</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楷体" w:hAnsi="楷体" w:eastAsia="楷体" w:cs="楷体"/>
          <w:sz w:val="26"/>
          <w:szCs w:val="26"/>
          <w:lang w:val="zh-CN" w:bidi="zh-CN"/>
        </w:rPr>
        <w:t>第八十二条</w:t>
      </w:r>
      <w:r>
        <w:rPr>
          <w:rStyle w:val="21"/>
          <w:rFonts w:hint="eastAsia" w:ascii="方正仿宋简体" w:hAnsi="方正仿宋简体" w:eastAsia="方正仿宋简体" w:cs="方正仿宋简体"/>
          <w:color w:val="333333"/>
          <w:sz w:val="26"/>
          <w:szCs w:val="26"/>
        </w:rPr>
        <w:t xml:space="preserve"> 本法自1985年4月1日起施行。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jc w:val="left"/>
        <w:rPr>
          <w:rFonts w:ascii="方正仿宋简体" w:hAnsi="方正仿宋简体" w:eastAsia="方正仿宋简体" w:cs="方正仿宋简体"/>
          <w:sz w:val="26"/>
          <w:szCs w:val="26"/>
        </w:rPr>
      </w:pPr>
    </w:p>
    <w:p>
      <w:pPr>
        <w:widowControl/>
        <w:jc w:val="center"/>
        <w:rPr>
          <w:rFonts w:ascii="方正小标宋简体" w:hAnsi="宋体" w:eastAsia="方正小标宋简体" w:cs="宋体"/>
          <w:b/>
          <w:bCs/>
          <w:color w:val="000000"/>
          <w:sz w:val="32"/>
          <w:szCs w:val="32"/>
        </w:rPr>
      </w:pPr>
    </w:p>
    <w:p>
      <w:pPr>
        <w:widowControl/>
        <w:jc w:val="center"/>
        <w:rPr>
          <w:rFonts w:ascii="方正小标宋简体" w:hAnsi="宋体" w:eastAsia="方正小标宋简体" w:cs="宋体"/>
          <w:b/>
          <w:bCs/>
          <w:color w:val="000000"/>
          <w:sz w:val="32"/>
          <w:szCs w:val="32"/>
        </w:rPr>
      </w:pPr>
    </w:p>
    <w:p>
      <w:pPr>
        <w:widowControl/>
        <w:jc w:val="center"/>
        <w:rPr>
          <w:rFonts w:ascii="方正小标宋简体" w:hAnsi="宋体" w:eastAsia="方正小标宋简体" w:cs="宋体"/>
          <w:color w:val="000000"/>
          <w:sz w:val="32"/>
          <w:szCs w:val="32"/>
        </w:rPr>
      </w:pPr>
      <w:r>
        <w:rPr>
          <w:rFonts w:hint="eastAsia" w:ascii="方正小标宋简体" w:hAnsi="宋体" w:eastAsia="方正小标宋简体" w:cs="宋体"/>
          <w:b/>
          <w:bCs/>
          <w:color w:val="000000"/>
          <w:sz w:val="32"/>
          <w:szCs w:val="32"/>
        </w:rPr>
        <w:t>中华人民共和国国务院令</w:t>
      </w:r>
    </w:p>
    <w:p>
      <w:pPr>
        <w:widowControl/>
        <w:spacing w:line="400" w:lineRule="exact"/>
        <w:jc w:val="center"/>
        <w:rPr>
          <w:rFonts w:ascii="黑体" w:hAnsi="黑体" w:eastAsia="黑体" w:cs="Segoe UI"/>
          <w:color w:val="000000"/>
          <w:sz w:val="24"/>
        </w:rPr>
      </w:pPr>
      <w:r>
        <w:rPr>
          <w:rFonts w:hint="eastAsia" w:ascii="黑体" w:hAnsi="黑体" w:eastAsia="黑体" w:cs="Segoe UI"/>
          <w:color w:val="000000"/>
          <w:sz w:val="24"/>
        </w:rPr>
        <w:t>第738号</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《行政事业性国有资产管理条例》已经2020年12月30日国务院第120次常务会议通过，现予公布，自2021年4月1日起施行。</w:t>
      </w:r>
    </w:p>
    <w:p>
      <w:pPr>
        <w:widowControl/>
        <w:spacing w:line="400" w:lineRule="exact"/>
        <w:ind w:firstLine="4680" w:firstLineChars="18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总 理李克强</w:t>
      </w:r>
    </w:p>
    <w:p>
      <w:pPr>
        <w:widowControl/>
        <w:spacing w:line="400" w:lineRule="exact"/>
        <w:ind w:firstLine="4550" w:firstLineChars="175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2021年2月1日</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jc w:val="center"/>
        <w:rPr>
          <w:rFonts w:ascii="方正小标宋简体" w:hAnsi="宋体" w:eastAsia="方正小标宋简体" w:cs="宋体"/>
          <w:b/>
          <w:bCs/>
          <w:color w:val="000000"/>
          <w:sz w:val="32"/>
          <w:szCs w:val="32"/>
        </w:rPr>
      </w:pPr>
    </w:p>
    <w:p>
      <w:pPr>
        <w:widowControl/>
        <w:jc w:val="center"/>
        <w:rPr>
          <w:rFonts w:ascii="宋体" w:hAnsi="宋体" w:eastAsia="宋体" w:cs="宋体"/>
          <w:color w:val="000000"/>
          <w:sz w:val="24"/>
        </w:rPr>
      </w:pPr>
      <w:r>
        <w:rPr>
          <w:rFonts w:hint="eastAsia" w:ascii="方正小标宋简体" w:hAnsi="宋体" w:eastAsia="方正小标宋简体" w:cs="宋体"/>
          <w:b/>
          <w:bCs/>
          <w:color w:val="000000"/>
          <w:sz w:val="32"/>
          <w:szCs w:val="32"/>
        </w:rPr>
        <w:t>行政事业性国有资产管理条例</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第一章 总则</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第一条</w:t>
      </w:r>
      <w:r>
        <w:rPr>
          <w:rFonts w:hint="eastAsia" w:ascii="方正仿宋简体" w:hAnsi="方正仿宋简体" w:eastAsia="方正仿宋简体" w:cs="方正仿宋简体"/>
          <w:color w:val="000000"/>
          <w:sz w:val="26"/>
          <w:szCs w:val="26"/>
        </w:rPr>
        <w:t xml:space="preserve"> 为了加强行政事业性国有资产管理与监督，健全国有资产管理体制，推进国家治理体系和治理能力现代化，根据全国人民代表大会常务委员会关于加强国有资产管理情况监督的决定，制定本条例。</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 xml:space="preserve">第二条 </w:t>
      </w:r>
      <w:r>
        <w:rPr>
          <w:rFonts w:hint="eastAsia" w:ascii="方正仿宋简体" w:hAnsi="方正仿宋简体" w:eastAsia="方正仿宋简体" w:cs="方正仿宋简体"/>
          <w:color w:val="000000"/>
          <w:sz w:val="26"/>
          <w:szCs w:val="26"/>
        </w:rPr>
        <w:t>行政事业性国有资产，是指行政单位、事业单位通过以下方式取得或者形成的资产：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（一）使用财政资金形成的资产；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（二）接受调拨或者划转、置换形成的资产；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（三）接受捐赠并确认为国有的资产；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（四）其他国有资产。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第三条</w:t>
      </w:r>
      <w:r>
        <w:rPr>
          <w:rFonts w:hint="eastAsia" w:ascii="方正仿宋简体" w:hAnsi="方正仿宋简体" w:eastAsia="方正仿宋简体" w:cs="方正仿宋简体"/>
          <w:color w:val="000000"/>
          <w:sz w:val="26"/>
          <w:szCs w:val="26"/>
        </w:rPr>
        <w:t xml:space="preserve"> 行政事业性国有资产属于国家所有，实行政府分级监管、各部门及其所属单位直接支配的管理体制。</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第四条</w:t>
      </w:r>
      <w:r>
        <w:rPr>
          <w:rFonts w:hint="eastAsia" w:ascii="方正仿宋简体" w:hAnsi="方正仿宋简体" w:eastAsia="方正仿宋简体" w:cs="方正仿宋简体"/>
          <w:color w:val="000000"/>
          <w:sz w:val="26"/>
          <w:szCs w:val="26"/>
        </w:rPr>
        <w:t xml:space="preserve"> 各级人民政府应当建立健全行政事业性国有资产管理机制，加强对本级行政事业性国有资产的管理，审查、批准重大行政事业性国有资产管理事项。</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第五条</w:t>
      </w:r>
      <w:r>
        <w:rPr>
          <w:rFonts w:hint="eastAsia" w:ascii="方正仿宋简体" w:hAnsi="方正仿宋简体" w:eastAsia="方正仿宋简体" w:cs="方正仿宋简体"/>
          <w:color w:val="000000"/>
          <w:sz w:val="26"/>
          <w:szCs w:val="26"/>
        </w:rPr>
        <w:t xml:space="preserve"> 国务院财政部门负责制定行政事业单位国有资产管理规章制度并负责组织实施和监督检查，牵头编制行政事业性国有资产管理情况报告。</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国务院机关事务管理部门和有关机关事务管理部门会同有关部门依法依规履行相关中央行政事业单位国有资产管理职责，制定中央行政事业单位国有资产管理具体制度和办法并组织实施，接受国务院财政部门的指导和监督检查。</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相关部门根据职责规定，按照集中统一、分类分级原则，加强中央行政事业单位国有资产管理，优化管理手段，提高管理效率。</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第六条</w:t>
      </w:r>
      <w:r>
        <w:rPr>
          <w:rFonts w:hint="eastAsia" w:ascii="方正仿宋简体" w:hAnsi="方正仿宋简体" w:eastAsia="方正仿宋简体" w:cs="方正仿宋简体"/>
          <w:color w:val="000000"/>
          <w:sz w:val="26"/>
          <w:szCs w:val="26"/>
        </w:rPr>
        <w:t xml:space="preserve"> 各部门根据职责负责本部门及其所属单位国有资产管理工作，应当明确管理责任，指导、监督所属单位国有资产管理工作。</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各部门所属单位负责本单位行政事业性国有资产的具体管理，应当建立和完善内部控制管理制度。</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第七条</w:t>
      </w:r>
      <w:r>
        <w:rPr>
          <w:rFonts w:hint="eastAsia" w:ascii="方正仿宋简体" w:hAnsi="方正仿宋简体" w:eastAsia="方正仿宋简体" w:cs="方正仿宋简体"/>
          <w:color w:val="000000"/>
          <w:sz w:val="26"/>
          <w:szCs w:val="26"/>
        </w:rPr>
        <w:t xml:space="preserve"> 各部门及其所属单位管理行政事业性国有资产应当遵循安全规范、节约高效、公开透明、权责一致的原则，实现实物管理与价值管理相统一，资产管理与预算管理、财务管理相结合。</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第二章 资产配置、使用和处置</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第八条</w:t>
      </w:r>
      <w:r>
        <w:rPr>
          <w:rFonts w:hint="eastAsia" w:ascii="方正仿宋简体" w:hAnsi="方正仿宋简体" w:eastAsia="方正仿宋简体" w:cs="方正仿宋简体"/>
          <w:color w:val="000000"/>
          <w:sz w:val="26"/>
          <w:szCs w:val="26"/>
        </w:rPr>
        <w:t xml:space="preserve"> 各部门及其所属单位应当根据依法履行职能和事业发展的需要，结合资产存量、资产配置标准、绩效目标和财政承受能力配置资产。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第九条</w:t>
      </w:r>
      <w:r>
        <w:rPr>
          <w:rFonts w:hint="eastAsia" w:ascii="方正仿宋简体" w:hAnsi="方正仿宋简体" w:eastAsia="方正仿宋简体" w:cs="方正仿宋简体"/>
          <w:color w:val="000000"/>
          <w:sz w:val="26"/>
          <w:szCs w:val="26"/>
        </w:rPr>
        <w:t xml:space="preserve"> 各部门及其所属单位应当合理选择资产配置方式，资产配置重大事项应当经可行性研究和集体决策，资产价值较高的按照国家有关规定进行资产评估，并履行审批程序。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资产配置包括调剂、购置、建设、租用、接受捐赠等方式。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第十条</w:t>
      </w:r>
      <w:r>
        <w:rPr>
          <w:rFonts w:hint="eastAsia" w:ascii="方正仿宋简体" w:hAnsi="方正仿宋简体" w:eastAsia="方正仿宋简体" w:cs="方正仿宋简体"/>
          <w:color w:val="000000"/>
          <w:sz w:val="26"/>
          <w:szCs w:val="26"/>
        </w:rPr>
        <w:t xml:space="preserve"> 县级以上人民政府应当组织建立、完善资产配置标准体系，明确配置的数量、价值、等级、最低使用年限等标准。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资产配置标准应当按照勤俭节约、讲求绩效和绿色环保的要求，根据国家有关政策、经济社会发展水平、市场价格变化、科学技术进步等因素适时调整。</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第十一条</w:t>
      </w:r>
      <w:r>
        <w:rPr>
          <w:rFonts w:hint="eastAsia" w:ascii="方正仿宋简体" w:hAnsi="方正仿宋简体" w:eastAsia="方正仿宋简体" w:cs="方正仿宋简体"/>
          <w:color w:val="000000"/>
          <w:sz w:val="26"/>
          <w:szCs w:val="26"/>
        </w:rPr>
        <w:t xml:space="preserve"> 各部门及其所属单位应当优先通过调剂方式配置资产。不能调剂的，可以采用购置、建设、租用等方式。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第十二条</w:t>
      </w:r>
      <w:r>
        <w:rPr>
          <w:rFonts w:hint="eastAsia" w:ascii="方正仿宋简体" w:hAnsi="方正仿宋简体" w:eastAsia="方正仿宋简体" w:cs="方正仿宋简体"/>
          <w:color w:val="000000"/>
          <w:sz w:val="26"/>
          <w:szCs w:val="26"/>
        </w:rPr>
        <w:t xml:space="preserve"> 行政单位国有资产应当用于本单位履行职能的需要。</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除法律另有规定外，行政单位不得以任何形式将国有资产用于对外投资或者设立营利性组织。</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第十三条</w:t>
      </w:r>
      <w:r>
        <w:rPr>
          <w:rFonts w:hint="eastAsia" w:ascii="方正仿宋简体" w:hAnsi="方正仿宋简体" w:eastAsia="方正仿宋简体" w:cs="方正仿宋简体"/>
          <w:color w:val="000000"/>
          <w:sz w:val="26"/>
          <w:szCs w:val="26"/>
        </w:rPr>
        <w:t xml:space="preserve"> 事业单位国有资产应当用于保障事业发展、提供公共服务。</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第十四条</w:t>
      </w:r>
      <w:r>
        <w:rPr>
          <w:rFonts w:hint="eastAsia" w:ascii="方正仿宋简体" w:hAnsi="方正仿宋简体" w:eastAsia="方正仿宋简体" w:cs="方正仿宋简体"/>
          <w:color w:val="000000"/>
          <w:sz w:val="26"/>
          <w:szCs w:val="26"/>
        </w:rPr>
        <w:t xml:space="preserve"> 各部门及其所属单位应当加强对本单位固定资产、在建工程、流动资产、无形资产等各类国有资产的管理，明确管理责任，规范使用流程，加强产权保护，推进相关资产安全有效使用。</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第十五条</w:t>
      </w:r>
      <w:r>
        <w:rPr>
          <w:rFonts w:hint="eastAsia" w:ascii="方正仿宋简体" w:hAnsi="方正仿宋简体" w:eastAsia="方正仿宋简体" w:cs="方正仿宋简体"/>
          <w:color w:val="000000"/>
          <w:sz w:val="26"/>
          <w:szCs w:val="26"/>
        </w:rPr>
        <w:t xml:space="preserve"> 各部门及其所属单位应当明确资产使用人和管理人的岗位责任。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资产使用人、管理人应当履行岗位责任，按照规程合理使用、管理资产，充分发挥资产效能。资产需要维修、保养、调剂、更新、报废的，资产使用人、管理人应当及时提出。</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资产使用人、管理人发生变化的，应当及时办理资产交接手续。</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第十六条</w:t>
      </w:r>
      <w:r>
        <w:rPr>
          <w:rFonts w:hint="eastAsia" w:ascii="方正仿宋简体" w:hAnsi="方正仿宋简体" w:eastAsia="方正仿宋简体" w:cs="方正仿宋简体"/>
          <w:color w:val="000000"/>
          <w:sz w:val="26"/>
          <w:szCs w:val="26"/>
        </w:rPr>
        <w:t xml:space="preserve"> 各部门及其所属单位接受捐赠的资产，应当按照捐赠约定的用途使用。捐赠人意愿不明确或者没有约定用途的，应当统筹安排使用。</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第十七条</w:t>
      </w:r>
      <w:r>
        <w:rPr>
          <w:rFonts w:hint="eastAsia" w:ascii="方正仿宋简体" w:hAnsi="方正仿宋简体" w:eastAsia="方正仿宋简体" w:cs="方正仿宋简体"/>
          <w:color w:val="000000"/>
          <w:sz w:val="26"/>
          <w:szCs w:val="26"/>
        </w:rPr>
        <w:t xml:space="preserve"> 事业单位利用国有资产对外投资应当有利于事业发展和实现国有资产保值增值，符合国家有关规定，经可行性研究和集体决策，按照规定权限和程序进行。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事业单位应当明确对外投资形成的股权及其相关权益管理责任，按照规定将对外投资形成的股权纳入经营性国有资产集中统一监管体系。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第十八条</w:t>
      </w:r>
      <w:r>
        <w:rPr>
          <w:rFonts w:hint="eastAsia" w:ascii="方正仿宋简体" w:hAnsi="方正仿宋简体" w:eastAsia="方正仿宋简体" w:cs="方正仿宋简体"/>
          <w:color w:val="000000"/>
          <w:sz w:val="26"/>
          <w:szCs w:val="26"/>
        </w:rPr>
        <w:t xml:space="preserve"> 县级以上人民政府及其有关部门应当建立健全国有资产共享共用机制，采取措施引导和鼓励国有资产共享共用，统筹规划有效推进国有资产共享共用工作。</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各部门及其所属单位应当在确保安全使用的前提下，推进本单位大型设备等国有资产共享共用工作，可以对提供方给予合理补偿。</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第十九条</w:t>
      </w:r>
      <w:r>
        <w:rPr>
          <w:rFonts w:hint="eastAsia" w:ascii="方正仿宋简体" w:hAnsi="方正仿宋简体" w:eastAsia="方正仿宋简体" w:cs="方正仿宋简体"/>
          <w:color w:val="000000"/>
          <w:sz w:val="26"/>
          <w:szCs w:val="26"/>
        </w:rPr>
        <w:t xml:space="preserve"> 各部门及其所属单位应当根据履行职能、事业发展需要和资产使用状况，经集体决策和履行审批程序，依据处置事项批复等相关文件及时处置行政事业性国有资产。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第二十条</w:t>
      </w:r>
      <w:r>
        <w:rPr>
          <w:rFonts w:hint="eastAsia" w:ascii="方正仿宋简体" w:hAnsi="方正仿宋简体" w:eastAsia="方正仿宋简体" w:cs="方正仿宋简体"/>
          <w:color w:val="000000"/>
          <w:sz w:val="26"/>
          <w:szCs w:val="26"/>
        </w:rPr>
        <w:t xml:space="preserve"> 各部门及其所属单位应当将依法罚没的资产按照国家规定公开拍卖或者按照国家有关规定处理，所得款项全部上缴国库。</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 xml:space="preserve">第二十一条 </w:t>
      </w:r>
      <w:r>
        <w:rPr>
          <w:rFonts w:hint="eastAsia" w:ascii="方正仿宋简体" w:hAnsi="方正仿宋简体" w:eastAsia="方正仿宋简体" w:cs="方正仿宋简体"/>
          <w:color w:val="000000"/>
          <w:sz w:val="26"/>
          <w:szCs w:val="26"/>
        </w:rPr>
        <w:t>各部门及其所属单位应当对下列资产及时予以报废、报损：</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（一）因技术原因确需淘汰或者无法维修、无维修价值的资产；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（二）涉及盘亏、坏账以及非正常损失的资产；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（三）已超过使用年限且无法满足现有工作需要的资产；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（四）因自然灾害等不可抗力造成毁损、灭失的资产。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第二十二条</w:t>
      </w:r>
      <w:r>
        <w:rPr>
          <w:rFonts w:hint="eastAsia" w:ascii="方正仿宋简体" w:hAnsi="方正仿宋简体" w:eastAsia="方正仿宋简体" w:cs="方正仿宋简体"/>
          <w:color w:val="000000"/>
          <w:sz w:val="26"/>
          <w:szCs w:val="26"/>
        </w:rPr>
        <w:t xml:space="preserve"> 各部门及其所属单位发生分立、合并、改制、撤销、隶属关系改变或者部分职能、业务调整等情形，应当根据国家有关规定办理相关国有资产划转、交接手续。</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第二十三条</w:t>
      </w:r>
      <w:r>
        <w:rPr>
          <w:rFonts w:hint="eastAsia" w:ascii="方正仿宋简体" w:hAnsi="方正仿宋简体" w:eastAsia="方正仿宋简体" w:cs="方正仿宋简体"/>
          <w:color w:val="000000"/>
          <w:sz w:val="26"/>
          <w:szCs w:val="26"/>
        </w:rPr>
        <w:t xml:space="preserve"> 国家设立的研究开发机构、高等院校对其持有的科技成果的使用和处置，依照《中华人民共和国促进科技成果转化法》、《中华人民共和国专利法》和国家有关规定执行。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第三章 预算管理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第二十四条</w:t>
      </w:r>
      <w:r>
        <w:rPr>
          <w:rFonts w:hint="eastAsia" w:ascii="方正仿宋简体" w:hAnsi="方正仿宋简体" w:eastAsia="方正仿宋简体" w:cs="方正仿宋简体"/>
          <w:color w:val="000000"/>
          <w:sz w:val="26"/>
          <w:szCs w:val="26"/>
        </w:rPr>
        <w:t xml:space="preserve"> 各部门及其所属单位购置、建设、租用资产应当提出资产配置需求，编制资产配置相关支出预算，并严格按照预算管理规定和财政部门批复的预算配置资产。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第二十五条</w:t>
      </w:r>
      <w:r>
        <w:rPr>
          <w:rFonts w:hint="eastAsia" w:ascii="方正仿宋简体" w:hAnsi="方正仿宋简体" w:eastAsia="方正仿宋简体" w:cs="方正仿宋简体"/>
          <w:color w:val="000000"/>
          <w:sz w:val="26"/>
          <w:szCs w:val="26"/>
        </w:rPr>
        <w:t xml:space="preserve"> 行政单位国有资产出租和处置等收入，应当按照政府非税收入和国库集中收缴制度的有关规定管理。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除国家另有规定外，事业单位国有资产的处置收入应当按照政府非税收入和国库集中收缴制度的有关规定管理。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事业单位国有资产使用形成的收入，由本级人民政府财政部门规定具体管理办法。</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第二十六条</w:t>
      </w:r>
      <w:r>
        <w:rPr>
          <w:rFonts w:hint="eastAsia" w:ascii="方正仿宋简体" w:hAnsi="方正仿宋简体" w:eastAsia="方正仿宋简体" w:cs="方正仿宋简体"/>
          <w:color w:val="000000"/>
          <w:sz w:val="26"/>
          <w:szCs w:val="26"/>
        </w:rPr>
        <w:t xml:space="preserve"> 各部门及其所属单位应当及时收取各类资产收入，不得违反国家规定，多收、少收、不收、侵占、私分、截留、占用、挪用、隐匿、坐支。</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 xml:space="preserve">第二十七条 </w:t>
      </w:r>
      <w:r>
        <w:rPr>
          <w:rFonts w:hint="eastAsia" w:ascii="方正仿宋简体" w:hAnsi="方正仿宋简体" w:eastAsia="方正仿宋简体" w:cs="方正仿宋简体"/>
          <w:color w:val="000000"/>
          <w:sz w:val="26"/>
          <w:szCs w:val="26"/>
        </w:rPr>
        <w:t>各部门及其所属单位应当在决算中全面、真实、准确反映其国有资产收入、支出以及国有资产存量情况。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第二十八条</w:t>
      </w:r>
      <w:r>
        <w:rPr>
          <w:rFonts w:hint="eastAsia" w:ascii="方正仿宋简体" w:hAnsi="方正仿宋简体" w:eastAsia="方正仿宋简体" w:cs="方正仿宋简体"/>
          <w:color w:val="000000"/>
          <w:sz w:val="26"/>
          <w:szCs w:val="26"/>
        </w:rPr>
        <w:t xml:space="preserve"> 各部门及其所属单位应当按照国家规定建立国有资产绩效管理制度，建立健全绩效指标和标准，有序开展国有资产绩效管理工作。</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第二十九条</w:t>
      </w:r>
      <w:r>
        <w:rPr>
          <w:rFonts w:hint="eastAsia" w:ascii="方正仿宋简体" w:hAnsi="方正仿宋简体" w:eastAsia="方正仿宋简体" w:cs="方正仿宋简体"/>
          <w:color w:val="000000"/>
          <w:sz w:val="26"/>
          <w:szCs w:val="26"/>
        </w:rPr>
        <w:t xml:space="preserve"> 县级以上人民政府投资建设公共基础设施，应当依法落实资金来源，加强预算约束，防范政府债务风险，并明确公共基础设施的管理维护责任单位。</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第四章 基础管理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第三十条</w:t>
      </w:r>
      <w:r>
        <w:rPr>
          <w:rFonts w:hint="eastAsia" w:ascii="方正仿宋简体" w:hAnsi="方正仿宋简体" w:eastAsia="方正仿宋简体" w:cs="方正仿宋简体"/>
          <w:color w:val="000000"/>
          <w:sz w:val="26"/>
          <w:szCs w:val="26"/>
        </w:rPr>
        <w:t xml:space="preserve"> 各部门及其所属单位应当按照国家规定设置行政事业性国有资产台账，依照国家统一的会计制度进行会计核算，不得形成账外资产。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第三十一条</w:t>
      </w:r>
      <w:r>
        <w:rPr>
          <w:rFonts w:hint="eastAsia" w:ascii="方正仿宋简体" w:hAnsi="方正仿宋简体" w:eastAsia="方正仿宋简体" w:cs="方正仿宋简体"/>
          <w:color w:val="000000"/>
          <w:sz w:val="26"/>
          <w:szCs w:val="26"/>
        </w:rPr>
        <w:t xml:space="preserve"> 各部门及其所属单位采用建设方式配置资产的，应当在建设项目竣工验收合格后及时办理资产交付手续，并在规定期限内办理竣工财务决算，期限最长不得超过1年。</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各部门及其所属单位对已交付但未办理竣工财务决算的建设项目，应当按照国家统一的会计制度确认资产价值。</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第三十二条</w:t>
      </w:r>
      <w:r>
        <w:rPr>
          <w:rFonts w:hint="eastAsia" w:ascii="方正仿宋简体" w:hAnsi="方正仿宋简体" w:eastAsia="方正仿宋简体" w:cs="方正仿宋简体"/>
          <w:color w:val="000000"/>
          <w:sz w:val="26"/>
          <w:szCs w:val="26"/>
        </w:rPr>
        <w:t xml:space="preserve"> 各部门及其所属单位对无法进行会计确认入账的资产，可以根据需要组织专家参照资产评估方法进行估价，并作为反映资产状况的依据。</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 xml:space="preserve">第三十三条 </w:t>
      </w:r>
      <w:r>
        <w:rPr>
          <w:rFonts w:hint="eastAsia" w:ascii="方正仿宋简体" w:hAnsi="方正仿宋简体" w:eastAsia="方正仿宋简体" w:cs="方正仿宋简体"/>
          <w:color w:val="000000"/>
          <w:sz w:val="26"/>
          <w:szCs w:val="26"/>
        </w:rPr>
        <w:t>各部门及其所属单位应当明确资产的维护、保养、维修的岗位责任。因使用不当或者维护、保养、维修不及时造成资产损失的，应当依法承担责任。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第三十四条</w:t>
      </w:r>
      <w:r>
        <w:rPr>
          <w:rFonts w:hint="eastAsia" w:ascii="方正仿宋简体" w:hAnsi="方正仿宋简体" w:eastAsia="方正仿宋简体" w:cs="方正仿宋简体"/>
          <w:color w:val="000000"/>
          <w:sz w:val="26"/>
          <w:szCs w:val="26"/>
        </w:rPr>
        <w:t xml:space="preserve"> 各部门及其所属单位应当定期或者不定期对资产进行盘点、对账。出现资产盘盈盘亏的，应当按照财务、会计和资产管理制度有关规定处理，做到账实相符和账账相符。</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kern w:val="0"/>
          <w:sz w:val="26"/>
          <w:szCs w:val="26"/>
          <w:lang w:bidi="zh-CN"/>
        </w:rPr>
        <w:t>第三十五条</w:t>
      </w:r>
      <w:r>
        <w:rPr>
          <w:rFonts w:hint="eastAsia" w:ascii="方正仿宋简体" w:hAnsi="方正仿宋简体" w:eastAsia="方正仿宋简体" w:cs="方正仿宋简体"/>
          <w:color w:val="000000"/>
          <w:sz w:val="26"/>
          <w:szCs w:val="26"/>
        </w:rPr>
        <w:t xml:space="preserve"> 各部门及其所属单位处置资产应当及时核销相关资产台账信息，同时进行会计处理。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第三十六条</w:t>
      </w:r>
      <w:r>
        <w:rPr>
          <w:rFonts w:hint="eastAsia" w:ascii="方正仿宋简体" w:hAnsi="方正仿宋简体" w:eastAsia="方正仿宋简体" w:cs="方正仿宋简体"/>
          <w:color w:val="000000"/>
          <w:sz w:val="26"/>
          <w:szCs w:val="26"/>
        </w:rPr>
        <w:t xml:space="preserve"> 除国家另有规定外，各部门及其所属单位将行政事业性国有资产进行转让、拍卖、置换、对外投资等，应当按照国家有关规定进行资产评估。</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行政事业性国有资产以市场化方式出售、出租的，依照有关规定可以通过相应公共资源交易平台进行。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第三十七条</w:t>
      </w:r>
      <w:r>
        <w:rPr>
          <w:rFonts w:hint="eastAsia" w:ascii="方正仿宋简体" w:hAnsi="方正仿宋简体" w:eastAsia="方正仿宋简体" w:cs="方正仿宋简体"/>
          <w:color w:val="000000"/>
          <w:sz w:val="26"/>
          <w:szCs w:val="26"/>
        </w:rPr>
        <w:t xml:space="preserve"> 有下列情形之一的，各部门及其所属单位应当对行政事业性国有资产进行清查：</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（一）根据本级政府部署要求；</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（二）发生重大资产调拨、划转以及单位分立、合并、改制、撤销、隶属关系改变等情形；</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（三）因自然灾害等不可抗力造成资产毁损、灭失；</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（四）会计信息严重失真；</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（五）国家统一的会计制度发生重大变更，涉及资产核算方法发生重要变化；</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（六）其他应当进行资产清查的情形。</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第三十八条</w:t>
      </w:r>
      <w:r>
        <w:rPr>
          <w:rFonts w:hint="eastAsia" w:ascii="方正仿宋简体" w:hAnsi="方正仿宋简体" w:eastAsia="方正仿宋简体" w:cs="方正仿宋简体"/>
          <w:color w:val="000000"/>
          <w:sz w:val="26"/>
          <w:szCs w:val="26"/>
        </w:rPr>
        <w:t xml:space="preserve"> 各部门及其所属单位资产清查结果和涉及资产核实的事项，应当按照国务院财政部门的规定履行审批程序。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第三十九条</w:t>
      </w:r>
      <w:r>
        <w:rPr>
          <w:rFonts w:hint="eastAsia" w:ascii="方正仿宋简体" w:hAnsi="方正仿宋简体" w:eastAsia="方正仿宋简体" w:cs="方正仿宋简体"/>
          <w:color w:val="000000"/>
          <w:sz w:val="26"/>
          <w:szCs w:val="26"/>
        </w:rPr>
        <w:t xml:space="preserve"> 各部门及其所属单位在资产清查中发现账实不符、账账不符的，应当查明原因予以说明，并随同清查结果一并履行审批程序。各部门及其所属单位应当根据审批结果及时调整资产台账信息，同时进行会计处理。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由于资产使用人、管理人的原因造成资产毁损、灭失的，应当依法追究相关责任。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第四十条</w:t>
      </w:r>
      <w:r>
        <w:rPr>
          <w:rFonts w:hint="eastAsia" w:ascii="方正仿宋简体" w:hAnsi="方正仿宋简体" w:eastAsia="方正仿宋简体" w:cs="方正仿宋简体"/>
          <w:color w:val="000000"/>
          <w:sz w:val="26"/>
          <w:szCs w:val="26"/>
        </w:rPr>
        <w:t xml:space="preserve"> 各部门及其所属单位对需要办理权属登记的资产应当依法及时办理。对有账簿记录但权证手续不全的行政事业性国有资产，可以向本级政府有关主管部门提出确认资产权属申请，及时办理权属登记。</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第四十一条</w:t>
      </w:r>
      <w:r>
        <w:rPr>
          <w:rFonts w:hint="eastAsia" w:ascii="方正仿宋简体" w:hAnsi="方正仿宋简体" w:eastAsia="方正仿宋简体" w:cs="方正仿宋简体"/>
          <w:color w:val="000000"/>
          <w:sz w:val="26"/>
          <w:szCs w:val="26"/>
        </w:rPr>
        <w:t xml:space="preserve"> 各部门及其所属单位之间，各部门及其所属单位与其他单位和个人之间发生资产纠纷的，应当依照有关法律法规规定采取协商等方式处理。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第四十二条</w:t>
      </w:r>
      <w:r>
        <w:rPr>
          <w:rFonts w:hint="eastAsia" w:ascii="方正仿宋简体" w:hAnsi="方正仿宋简体" w:eastAsia="方正仿宋简体" w:cs="方正仿宋简体"/>
          <w:color w:val="000000"/>
          <w:sz w:val="26"/>
          <w:szCs w:val="26"/>
        </w:rPr>
        <w:t xml:space="preserve"> 国务院财政部门应当建立全国行政事业性国有资产管理信息系统，推行资产管理网上办理，实现信息共享。</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spacing w:line="400" w:lineRule="exact"/>
        <w:ind w:firstLine="520" w:firstLineChars="200"/>
        <w:jc w:val="left"/>
        <w:rPr>
          <w:rFonts w:ascii="方正仿宋简体" w:hAnsi="方正仿宋简体" w:eastAsia="方正仿宋简体" w:cs="方正仿宋简体"/>
          <w:bCs/>
          <w:color w:val="000000"/>
          <w:sz w:val="26"/>
          <w:szCs w:val="26"/>
        </w:rPr>
      </w:pPr>
      <w:r>
        <w:rPr>
          <w:rFonts w:hint="eastAsia" w:ascii="方正仿宋简体" w:hAnsi="方正仿宋简体" w:eastAsia="方正仿宋简体" w:cs="方正仿宋简体"/>
          <w:bCs/>
          <w:color w:val="000000"/>
          <w:sz w:val="26"/>
          <w:szCs w:val="26"/>
        </w:rPr>
        <w:t>第五章 资产报告</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第四十三条</w:t>
      </w:r>
      <w:r>
        <w:rPr>
          <w:rFonts w:hint="eastAsia" w:ascii="方正仿宋简体" w:hAnsi="方正仿宋简体" w:eastAsia="方正仿宋简体" w:cs="方正仿宋简体"/>
          <w:color w:val="000000"/>
          <w:sz w:val="26"/>
          <w:szCs w:val="26"/>
        </w:rPr>
        <w:t xml:space="preserve"> 国家建立行政事业性国有资产管理情况报告制度。</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国务院向全国人民代表大会常务委员会报告全国行政事业性国有资产管理情况。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县级以上地方人民政府按照规定向本级人民代表大会常务委员会报告行政事业性国有资产管理情况。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第四十四条</w:t>
      </w:r>
      <w:r>
        <w:rPr>
          <w:rFonts w:hint="eastAsia" w:ascii="方正仿宋简体" w:hAnsi="方正仿宋简体" w:eastAsia="方正仿宋简体" w:cs="方正仿宋简体"/>
          <w:color w:val="000000"/>
          <w:sz w:val="26"/>
          <w:szCs w:val="26"/>
        </w:rPr>
        <w:t xml:space="preserve"> 行政事业性国有资产管理情况报告，主要包括资产负债总量，相关管理制度建立和实施，资产配置、使用、处置和效益，推进管理体制机制改革等情况。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行政事业性国有资产管理情况按照国家有关规定向社会公开。</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第四十五条</w:t>
      </w:r>
      <w:r>
        <w:rPr>
          <w:rFonts w:hint="eastAsia" w:ascii="方正仿宋简体" w:hAnsi="方正仿宋简体" w:eastAsia="方正仿宋简体" w:cs="方正仿宋简体"/>
          <w:color w:val="000000"/>
          <w:sz w:val="26"/>
          <w:szCs w:val="26"/>
        </w:rPr>
        <w:t xml:space="preserve"> 各部门所属单位应当每年编制本单位行政事业性国有资产管理情况报告，逐级报送相关部门。</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各部门应当汇总编制本部门行政事业性国有资产管理情况报告，报送本级政府财政部门。</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第四十六条</w:t>
      </w:r>
      <w:r>
        <w:rPr>
          <w:rFonts w:hint="eastAsia" w:ascii="方正仿宋简体" w:hAnsi="方正仿宋简体" w:eastAsia="方正仿宋简体" w:cs="方正仿宋简体"/>
          <w:color w:val="000000"/>
          <w:sz w:val="26"/>
          <w:szCs w:val="26"/>
        </w:rPr>
        <w:t xml:space="preserve"> 县级以上地方人民政府财政部门应当每年汇总本级和下级行政事业性国有资产管理情况，报送本级政府和上一级政府财政部门。</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第六章 监督</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第四十七条</w:t>
      </w:r>
      <w:r>
        <w:rPr>
          <w:rFonts w:hint="eastAsia" w:ascii="方正仿宋简体" w:hAnsi="方正仿宋简体" w:eastAsia="方正仿宋简体" w:cs="方正仿宋简体"/>
          <w:color w:val="000000"/>
          <w:sz w:val="26"/>
          <w:szCs w:val="26"/>
        </w:rPr>
        <w:t xml:space="preserve"> 县级以上人民政府应当接受本级人民代表大会及其常务委员会对行政事业性国有资产管理情况的监督，组织落实本级人民代表大会及其常务委员会审议提出的整改要求，并向本级人民代表大会及其常务委员会报告整改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乡、民族乡、镇人民政府应当接受本级人民代表大会对行政事业性国有资产管理情况的监督。</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第四十八条</w:t>
      </w:r>
      <w:r>
        <w:rPr>
          <w:rFonts w:hint="eastAsia" w:ascii="方正仿宋简体" w:hAnsi="方正仿宋简体" w:eastAsia="方正仿宋简体" w:cs="方正仿宋简体"/>
          <w:color w:val="000000"/>
          <w:sz w:val="26"/>
          <w:szCs w:val="26"/>
        </w:rPr>
        <w:t xml:space="preserve"> 县级以上人民政府对下级政府的行政事业性国有资产管理情况进行监督。下级政府应当组织落实上一级政府提出的监管要求，并向上一级政府报告落实情况。</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第四十九条</w:t>
      </w:r>
      <w:r>
        <w:rPr>
          <w:rFonts w:hint="eastAsia" w:ascii="方正仿宋简体" w:hAnsi="方正仿宋简体" w:eastAsia="方正仿宋简体" w:cs="方正仿宋简体"/>
          <w:color w:val="000000"/>
          <w:sz w:val="26"/>
          <w:szCs w:val="26"/>
        </w:rPr>
        <w:t xml:space="preserve"> 县级以上人民政府财政部门应当对本级各部门及其所属单位行政事业性国有资产管理情况进行监督检查，依法向社会公开检查结果。</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第五十条</w:t>
      </w:r>
      <w:r>
        <w:rPr>
          <w:rFonts w:hint="eastAsia" w:ascii="方正仿宋简体" w:hAnsi="方正仿宋简体" w:eastAsia="方正仿宋简体" w:cs="方正仿宋简体"/>
          <w:color w:val="000000"/>
          <w:sz w:val="26"/>
          <w:szCs w:val="26"/>
        </w:rPr>
        <w:t xml:space="preserve"> 县级以上人民政府审计部门依法对行政事业性国有资产管理情况进行审计监督。</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第五十一条</w:t>
      </w:r>
      <w:r>
        <w:rPr>
          <w:rFonts w:hint="eastAsia" w:ascii="方正仿宋简体" w:hAnsi="方正仿宋简体" w:eastAsia="方正仿宋简体" w:cs="方正仿宋简体"/>
          <w:color w:val="000000"/>
          <w:sz w:val="26"/>
          <w:szCs w:val="26"/>
        </w:rPr>
        <w:t xml:space="preserve"> 各部门应当建立健全行政事业性国有资产监督管理制度，根据职责对本行业行政事业性国有资产管理依法进行监督。</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各部门所属单位应当制定行政事业性国有资产内部控制制度，防控行政事业性国有资产管理风险。</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第五十二条</w:t>
      </w:r>
      <w:r>
        <w:rPr>
          <w:rFonts w:hint="eastAsia" w:ascii="方正仿宋简体" w:hAnsi="方正仿宋简体" w:eastAsia="方正仿宋简体" w:cs="方正仿宋简体"/>
          <w:color w:val="000000"/>
          <w:sz w:val="26"/>
          <w:szCs w:val="26"/>
        </w:rPr>
        <w:t xml:space="preserve"> 公民、法人或者其他组织发现违反本条例的行为，有权向有关部门进行检举、控告。接受检举、控告的有关部门应当依法进行处理，并为检举人、控告人保密。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任何单位或者个人不得压制和打击报复检举人、控告人。</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第七章 法律责任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第五十三条</w:t>
      </w:r>
      <w:r>
        <w:rPr>
          <w:rFonts w:hint="eastAsia" w:ascii="方正仿宋简体" w:hAnsi="方正仿宋简体" w:eastAsia="方正仿宋简体" w:cs="方正仿宋简体"/>
          <w:color w:val="000000"/>
          <w:sz w:val="26"/>
          <w:szCs w:val="26"/>
        </w:rPr>
        <w:t xml:space="preserve"> 各部门及其所属单位有下列行为之一的，责令改正，情节较重的，对负有直接责任的主管人员和其他直接责任人员依法给予处分：</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（一）配置、使用、处置国有资产未按照规定经集体决策或者履行审批程序；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（二）超标准配置国有资产；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（三）未按照规定办理国有资产调剂、调拨、划转、交接等手续；</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（四）未按照规定履行国有资产拍卖、报告、披露等程序；</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（五）未按照规定期限办理建设项目竣工财务决算；</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（六）未按照规定进行国有资产清查；</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（七）未按照规定设置国有资产台账；</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（八）未按照规定编制、报送国有资产管理情况报告。</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第五十四条</w:t>
      </w:r>
      <w:r>
        <w:rPr>
          <w:rFonts w:hint="eastAsia" w:ascii="方正仿宋简体" w:hAnsi="方正仿宋简体" w:eastAsia="方正仿宋简体" w:cs="方正仿宋简体"/>
          <w:color w:val="000000"/>
          <w:sz w:val="26"/>
          <w:szCs w:val="26"/>
        </w:rPr>
        <w:t xml:space="preserve"> 各部门及其所属单位有下列行为之一的，责令改正，有违法所得的没收违法所得，情节较重的，对负有直接责任的主管人员和其他直接责任人员依法给予处分；构成犯罪的，依法追究刑事责任：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（一）非法占有、使用国有资产或者采用弄虚作假等方式低价处置国有资产；</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（二）违反规定将国有资产用于对外投资或者设立营利性组织；</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（三）未按照规定评估国有资产导致国家利益损失；</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（四）其他违反本条例规定造成国有资产损失的行为。</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第五十五条</w:t>
      </w:r>
      <w:r>
        <w:rPr>
          <w:rFonts w:hint="eastAsia" w:ascii="方正仿宋简体" w:hAnsi="方正仿宋简体" w:eastAsia="方正仿宋简体" w:cs="方正仿宋简体"/>
          <w:color w:val="000000"/>
          <w:sz w:val="26"/>
          <w:szCs w:val="26"/>
        </w:rPr>
        <w:t xml:space="preserve"> 各部门及其所属单位在国有资产管理工作中有违反预算管理规定行为的，依照《中华人民共和国预算法》及其实施条例、《财政违法行为处罚处分条例》等法律、行政法规追究责任。</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第五十六条</w:t>
      </w:r>
      <w:r>
        <w:rPr>
          <w:rFonts w:hint="eastAsia" w:ascii="方正仿宋简体" w:hAnsi="方正仿宋简体" w:eastAsia="方正仿宋简体" w:cs="方正仿宋简体"/>
          <w:color w:val="000000"/>
          <w:sz w:val="26"/>
          <w:szCs w:val="26"/>
        </w:rPr>
        <w:t xml:space="preserve"> 各部门及其所属单位的工作人员在国有资产管理工作中滥用职权、玩忽职守、徇私舞弊或者有浪费国有资产等违法违规行为的，由有关部门依法给予处分；构成犯罪的，依法追究刑事责任。</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第八章 附则</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第五十七条</w:t>
      </w:r>
      <w:r>
        <w:rPr>
          <w:rFonts w:hint="eastAsia" w:ascii="方正仿宋简体" w:hAnsi="方正仿宋简体" w:eastAsia="方正仿宋简体" w:cs="方正仿宋简体"/>
          <w:color w:val="000000"/>
          <w:sz w:val="26"/>
          <w:szCs w:val="26"/>
        </w:rPr>
        <w:t xml:space="preserve"> 除国家另有规定外，社会组织直接支配的行政事业性国有资产管理，依照本条例执行。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第五十八条</w:t>
      </w:r>
      <w:r>
        <w:rPr>
          <w:rFonts w:hint="eastAsia" w:ascii="方正仿宋简体" w:hAnsi="方正仿宋简体" w:eastAsia="方正仿宋简体" w:cs="方正仿宋简体"/>
          <w:color w:val="000000"/>
          <w:sz w:val="26"/>
          <w:szCs w:val="26"/>
        </w:rPr>
        <w:t xml:space="preserve"> 货币形式的行政事业性国有资产管理，按照预算管理有关规定执行。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方正仿宋简体" w:hAnsi="方正仿宋简体" w:eastAsia="方正仿宋简体" w:cs="方正仿宋简体"/>
          <w:color w:val="000000"/>
          <w:sz w:val="26"/>
          <w:szCs w:val="26"/>
        </w:rPr>
        <w:t>执行企业财务、会计制度的事业单位以及事业单位对外投资的全资企业或者控股企业的资产管理，不适用本条例。</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第五十九条</w:t>
      </w:r>
      <w:r>
        <w:rPr>
          <w:rFonts w:hint="eastAsia" w:ascii="方正仿宋简体" w:hAnsi="方正仿宋简体" w:eastAsia="方正仿宋简体" w:cs="方正仿宋简体"/>
          <w:color w:val="000000"/>
          <w:sz w:val="26"/>
          <w:szCs w:val="26"/>
        </w:rPr>
        <w:t xml:space="preserve"> 公共基础设施、政府储备物资、国有文物文化等行政事业性国有资产管理的具体办法，由国务院财政部门会同有关部门制定。</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第六十条</w:t>
      </w:r>
      <w:r>
        <w:rPr>
          <w:rFonts w:hint="eastAsia" w:ascii="方正仿宋简体" w:hAnsi="方正仿宋简体" w:eastAsia="方正仿宋简体" w:cs="方正仿宋简体"/>
          <w:color w:val="000000"/>
          <w:sz w:val="26"/>
          <w:szCs w:val="26"/>
        </w:rPr>
        <w:t xml:space="preserve"> 中国人民解放军、中国人民武装警察部队直接支配的行政事业性国有资产管理，依照中央军事委员会有关规定执行。</w:t>
      </w:r>
    </w:p>
    <w:p>
      <w:pPr>
        <w:widowControl/>
        <w:spacing w:line="400" w:lineRule="exact"/>
        <w:ind w:firstLine="520" w:firstLineChars="200"/>
        <w:jc w:val="left"/>
        <w:rPr>
          <w:rFonts w:ascii="方正仿宋简体" w:hAnsi="方正仿宋简体" w:eastAsia="方正仿宋简体" w:cs="方正仿宋简体"/>
          <w:color w:val="000000"/>
          <w:sz w:val="26"/>
          <w:szCs w:val="26"/>
        </w:rPr>
      </w:pPr>
      <w:r>
        <w:rPr>
          <w:rFonts w:hint="eastAsia" w:ascii="楷体" w:hAnsi="楷体" w:eastAsia="楷体" w:cs="楷体"/>
          <w:bCs/>
          <w:color w:val="000000"/>
          <w:sz w:val="26"/>
          <w:szCs w:val="26"/>
        </w:rPr>
        <w:t>第六十一条</w:t>
      </w:r>
      <w:r>
        <w:rPr>
          <w:rFonts w:hint="eastAsia" w:ascii="方正仿宋简体" w:hAnsi="方正仿宋简体" w:eastAsia="方正仿宋简体" w:cs="方正仿宋简体"/>
          <w:color w:val="000000"/>
          <w:sz w:val="26"/>
          <w:szCs w:val="26"/>
        </w:rPr>
        <w:t xml:space="preserve"> 本条例自2021年4月1日起施行。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jc w:val="center"/>
        <w:rPr>
          <w:rFonts w:ascii="宋体" w:hAnsi="宋体" w:eastAsia="宋体" w:cs="宋体"/>
          <w:b/>
          <w:bCs/>
          <w:sz w:val="30"/>
          <w:szCs w:val="30"/>
        </w:rPr>
      </w:pPr>
      <w:r>
        <w:rPr>
          <w:rFonts w:hint="eastAsia" w:ascii="宋体" w:hAnsi="宋体" w:eastAsia="宋体" w:cs="宋体"/>
          <w:b/>
          <w:bCs/>
          <w:sz w:val="30"/>
          <w:szCs w:val="30"/>
        </w:rPr>
        <w:t>国务院关于进一步深化预算管理制度改革的意见</w:t>
      </w:r>
    </w:p>
    <w:p>
      <w:pPr>
        <w:jc w:val="center"/>
        <w:rPr>
          <w:rFonts w:ascii="宋体" w:hAnsi="宋体" w:eastAsia="宋体" w:cs="宋体"/>
          <w:b/>
          <w:bCs/>
          <w:sz w:val="24"/>
        </w:rPr>
      </w:pPr>
      <w:r>
        <w:rPr>
          <w:rFonts w:hint="eastAsia" w:ascii="宋体" w:hAnsi="宋体" w:eastAsia="宋体" w:cs="宋体"/>
          <w:b/>
          <w:bCs/>
          <w:sz w:val="24"/>
        </w:rPr>
        <w:t>国发〔2021〕5号</w:t>
      </w:r>
    </w:p>
    <w:p/>
    <w:p>
      <w:r>
        <w:rPr>
          <w:rFonts w:hint="eastAsia"/>
        </w:rPr>
        <w:t>各省、自治区、直辖市人民政府，国务院各部委、各直属机构：</w:t>
      </w:r>
    </w:p>
    <w:p/>
    <w:p>
      <w:pPr>
        <w:spacing w:line="400" w:lineRule="exact"/>
        <w:ind w:firstLine="420" w:firstLineChars="200"/>
        <w:jc w:val="left"/>
      </w:pPr>
      <w:r>
        <w:rPr>
          <w:rFonts w:hint="eastAsia"/>
        </w:rPr>
        <w:t>预算体现国家的战略和政策，反映政府的活动范围和方向，是推进国家治理体系和治理能力现代化的重要支撑，是宏观调控的重要手段。党的十八大以来，按照党中央、国务院决策部署，预算管理制度不断改革完善，为建立现代财政制度奠定了坚实基础。当前和今后一个时期，财政处于紧平衡状态，收支矛盾较为突出，加之预算管理中存在统筹力度不足、政府过紧日子意识尚未牢固树立、预算约束不够有力、资源配置使用效率有待提高、预算公开范围和内容仍需拓展等问题，影响了财政资源统筹和可持续性。为落实《中华人民共和国预算法》及其实施条例有关规定，规范管理、提高效率、挖掘潜力、释放活力，现就进一步深化预算管理制度改革提出以下意见。</w:t>
      </w:r>
    </w:p>
    <w:p>
      <w:pPr>
        <w:spacing w:line="400" w:lineRule="exact"/>
        <w:ind w:firstLine="420" w:firstLineChars="200"/>
        <w:jc w:val="left"/>
      </w:pPr>
    </w:p>
    <w:p>
      <w:pPr>
        <w:spacing w:line="400" w:lineRule="exact"/>
        <w:ind w:firstLine="420" w:firstLineChars="200"/>
        <w:jc w:val="left"/>
      </w:pPr>
      <w:r>
        <w:rPr>
          <w:rFonts w:hint="eastAsia"/>
        </w:rPr>
        <w:t>一、总体要求</w:t>
      </w:r>
    </w:p>
    <w:p>
      <w:pPr>
        <w:spacing w:line="400" w:lineRule="exact"/>
        <w:ind w:firstLine="420" w:firstLineChars="200"/>
        <w:jc w:val="left"/>
      </w:pPr>
    </w:p>
    <w:p>
      <w:pPr>
        <w:spacing w:line="400" w:lineRule="exact"/>
        <w:ind w:firstLine="420" w:firstLineChars="200"/>
        <w:jc w:val="left"/>
      </w:pPr>
      <w:r>
        <w:rPr>
          <w:rFonts w:hint="eastAsia"/>
        </w:rPr>
        <w:t>（一）指导思想。以习近平新时代中国特色社会主义思想为指导，深入贯彻党的十九大和十九届二中、三中、四中、五中全会精神，全面贯彻党的基本理论、基本路线、基本方略，坚持稳中求进工作总基调，立足新发展阶段、贯彻新发展理念、构建新发展格局，以推动高质量发展为主题，以深化供给侧结构性改革为主线，以改革创新为根本动力，以满足人民日益增长的美好生活需要为根本目的，更加有效保障和改善民生，进一步完善预算管理制度，更好发挥财政在国家治理中的基础和重要支柱作用，为全面建设社会主义现代化国家提供坚实保障。</w:t>
      </w:r>
    </w:p>
    <w:p>
      <w:pPr>
        <w:spacing w:line="400" w:lineRule="exact"/>
        <w:ind w:firstLine="420" w:firstLineChars="200"/>
        <w:jc w:val="left"/>
      </w:pPr>
    </w:p>
    <w:p>
      <w:pPr>
        <w:spacing w:line="400" w:lineRule="exact"/>
        <w:ind w:firstLine="420" w:firstLineChars="200"/>
        <w:jc w:val="left"/>
      </w:pPr>
      <w:r>
        <w:rPr>
          <w:rFonts w:hint="eastAsia"/>
        </w:rPr>
        <w:t>（二）基本原则。坚持党的全面领导。将坚持和加强党的全面领导贯穿预算管理制度改革全过程。坚持以人民为中心，兜牢基本民生底线。坚持系统观念，加强财政资源统筹，集中力量办大事，坚决落实政府过紧日子要求，强化预算对落实党和国家重大政策的保障能力，实现有限公共资源与政策目标有效匹配。</w:t>
      </w:r>
    </w:p>
    <w:p>
      <w:pPr>
        <w:spacing w:line="400" w:lineRule="exact"/>
        <w:ind w:firstLine="420" w:firstLineChars="200"/>
        <w:jc w:val="left"/>
      </w:pPr>
    </w:p>
    <w:p>
      <w:pPr>
        <w:spacing w:line="400" w:lineRule="exact"/>
        <w:ind w:firstLine="420" w:firstLineChars="200"/>
        <w:jc w:val="left"/>
      </w:pPr>
      <w:r>
        <w:rPr>
          <w:rFonts w:hint="eastAsia"/>
        </w:rPr>
        <w:t>坚持预算法定。增强法治观念，强化纪律意识，严肃财经纪律，更加注重强化约束，着力提升制度执行力，维护法律的权威性和制度的刚性约束力。明确地方和部门的主体责任，切实强化预算约束，加强对权力运行的制约和监督。</w:t>
      </w:r>
    </w:p>
    <w:p>
      <w:pPr>
        <w:spacing w:line="400" w:lineRule="exact"/>
        <w:ind w:firstLine="420" w:firstLineChars="200"/>
        <w:jc w:val="left"/>
      </w:pPr>
    </w:p>
    <w:p>
      <w:pPr>
        <w:spacing w:line="400" w:lineRule="exact"/>
        <w:ind w:firstLine="420" w:firstLineChars="200"/>
        <w:jc w:val="left"/>
      </w:pPr>
      <w:r>
        <w:rPr>
          <w:rFonts w:hint="eastAsia"/>
        </w:rPr>
        <w:t>坚持目标引领。按照建立现代财税体制的要求，坚持目标导向和问题导向相结合，完善管理手段，创新管理技术，破除管理瓶颈，推进预算和绩效管理一体化，以信息化推进预算管理现代化，加强预算管理各项制度的系统集成、协同高效，提高预算管理规范化、科学化、标准化水平和预算透明度。</w:t>
      </w:r>
    </w:p>
    <w:p>
      <w:pPr>
        <w:spacing w:line="400" w:lineRule="exact"/>
        <w:ind w:firstLine="420" w:firstLineChars="200"/>
        <w:jc w:val="left"/>
      </w:pPr>
    </w:p>
    <w:p>
      <w:pPr>
        <w:spacing w:line="400" w:lineRule="exact"/>
        <w:ind w:firstLine="420" w:firstLineChars="200"/>
        <w:jc w:val="left"/>
      </w:pPr>
      <w:r>
        <w:rPr>
          <w:rFonts w:hint="eastAsia"/>
        </w:rPr>
        <w:t>坚持底线思维。把防风险摆在更加突出的位置，统筹发展和安全、当前和长远，杜绝脱离实际的过高承诺，形成稳定合理的社会预期。加强政府债务和中长期支出事项管理，牢牢守住不发生系统性风险的底线。</w:t>
      </w:r>
    </w:p>
    <w:p>
      <w:pPr>
        <w:spacing w:line="400" w:lineRule="exact"/>
        <w:ind w:firstLine="420" w:firstLineChars="200"/>
        <w:jc w:val="left"/>
      </w:pPr>
    </w:p>
    <w:p>
      <w:pPr>
        <w:spacing w:line="400" w:lineRule="exact"/>
        <w:ind w:firstLine="420" w:firstLineChars="200"/>
        <w:jc w:val="left"/>
      </w:pPr>
      <w:r>
        <w:rPr>
          <w:rFonts w:hint="eastAsia"/>
        </w:rPr>
        <w:t>二、加大预算收入统筹力度，增强财政保障能力</w:t>
      </w:r>
    </w:p>
    <w:p>
      <w:pPr>
        <w:spacing w:line="400" w:lineRule="exact"/>
        <w:ind w:firstLine="420" w:firstLineChars="200"/>
        <w:jc w:val="left"/>
      </w:pPr>
    </w:p>
    <w:p>
      <w:pPr>
        <w:spacing w:line="400" w:lineRule="exact"/>
        <w:ind w:firstLine="420" w:firstLineChars="200"/>
        <w:jc w:val="left"/>
      </w:pPr>
      <w:r>
        <w:rPr>
          <w:rFonts w:hint="eastAsia"/>
        </w:rPr>
        <w:t>（三）规范政府收入预算管理。实事求是编制收入预算，考虑经济运行和实施减税降费政策等因素合理测算。严禁将财政收入规模、增幅纳入考核评比。严格落实各项减税降费政策，严禁收取过头税费、违规设置收费项目或提高收费标准。依照法律法规及时足额征收应征的预算收入，如实反映财政收入情况，提高收入质量，严禁虚收空转。不得违法违规制定实施各种形式的歧视性税费减免政策，维护全国统一市场和公平竞争。严禁将政府非税收入与征收单位支出挂钩。</w:t>
      </w:r>
    </w:p>
    <w:p>
      <w:pPr>
        <w:spacing w:line="400" w:lineRule="exact"/>
        <w:ind w:firstLine="420" w:firstLineChars="200"/>
        <w:jc w:val="left"/>
      </w:pPr>
    </w:p>
    <w:p>
      <w:pPr>
        <w:spacing w:line="400" w:lineRule="exact"/>
        <w:ind w:firstLine="420" w:firstLineChars="200"/>
        <w:jc w:val="left"/>
      </w:pPr>
      <w:r>
        <w:rPr>
          <w:rFonts w:hint="eastAsia"/>
        </w:rPr>
        <w:t>（四）加强政府性资源统筹管理。将依托行政权力、国有资源（资产）获取的收入以及特许经营权拍卖收入等按规定全面纳入预算，加大预算统筹力度。完善收费基金清单管理，将列入清单的收费基金按规定纳入预算。将应当由政府统筹使用的基金项目转列一般公共预算。合理确定国有资本收益上交比例。</w:t>
      </w:r>
    </w:p>
    <w:p>
      <w:pPr>
        <w:spacing w:line="400" w:lineRule="exact"/>
        <w:ind w:firstLine="420" w:firstLineChars="200"/>
        <w:jc w:val="left"/>
      </w:pPr>
    </w:p>
    <w:p>
      <w:pPr>
        <w:spacing w:line="400" w:lineRule="exact"/>
        <w:ind w:firstLine="420" w:firstLineChars="200"/>
        <w:jc w:val="left"/>
      </w:pPr>
      <w:r>
        <w:rPr>
          <w:rFonts w:hint="eastAsia"/>
        </w:rPr>
        <w:t>（五）强化部门和单位收入统筹管理。各部门和单位要依法依规将取得的各类收入纳入部门或单位预算，未纳入预算的收入不得安排支出。各部门应当加强所属单位事业收入、事业单位经营收入等非财政拨款收入管理，在部门和单位预算中如实反映非财政拨款收入情况。加强行政事业性国有资产收入管理，资产出租、处置等收入按规定上缴国库或纳入单位预算。</w:t>
      </w:r>
    </w:p>
    <w:p>
      <w:pPr>
        <w:spacing w:line="400" w:lineRule="exact"/>
        <w:ind w:firstLine="420" w:firstLineChars="200"/>
        <w:jc w:val="left"/>
      </w:pPr>
    </w:p>
    <w:p>
      <w:pPr>
        <w:spacing w:line="400" w:lineRule="exact"/>
        <w:ind w:firstLine="420" w:firstLineChars="200"/>
        <w:jc w:val="left"/>
      </w:pPr>
      <w:r>
        <w:rPr>
          <w:rFonts w:hint="eastAsia"/>
        </w:rPr>
        <w:t>（六）盘活各类存量资源。盘活财政存量资金，完善结余资金收回使用机制。新增资产配置要与资产存量挂钩，依法依规编制相关支出预算。严格各类资产登记和核算，所有资本性支出应当形成资产并予以全程登记。各级行政事业单位要将资产使用管理责任落实到人，确保资产安全完整、高效利用。推动国有资产共享共用，促进长期低效运转、闲置和超标准配置资产以及临时配置资产调剂使用，有条件的部门和地区可以探索建立公物仓，按规定处置不需使用且难以调剂的国有资产，提高财政资源配置效益。</w:t>
      </w:r>
    </w:p>
    <w:p>
      <w:pPr>
        <w:spacing w:line="400" w:lineRule="exact"/>
        <w:ind w:firstLine="420" w:firstLineChars="200"/>
        <w:jc w:val="left"/>
      </w:pPr>
    </w:p>
    <w:p>
      <w:pPr>
        <w:spacing w:line="400" w:lineRule="exact"/>
        <w:ind w:firstLine="420" w:firstLineChars="200"/>
        <w:jc w:val="left"/>
      </w:pPr>
      <w:r>
        <w:rPr>
          <w:rFonts w:hint="eastAsia"/>
        </w:rPr>
        <w:t>三、规范预算支出管理，推进财政支出标准化</w:t>
      </w:r>
    </w:p>
    <w:p>
      <w:pPr>
        <w:spacing w:line="400" w:lineRule="exact"/>
        <w:ind w:firstLine="420" w:firstLineChars="200"/>
        <w:jc w:val="left"/>
      </w:pPr>
    </w:p>
    <w:p>
      <w:pPr>
        <w:spacing w:line="400" w:lineRule="exact"/>
        <w:ind w:firstLine="420" w:firstLineChars="200"/>
        <w:jc w:val="left"/>
      </w:pPr>
      <w:r>
        <w:rPr>
          <w:rFonts w:hint="eastAsia"/>
        </w:rPr>
        <w:t>（七）加强重大决策部署财力保障。各级预算安排要将落实党中央、国务院重大决策部署作为首要任务，贯彻党的路线方针政策，增强对国家重大战略任务、国家发展规划的财力保障。完善预算决策机制和程序，各级预算、决算草案提请本级人大或其常委会审查批准前，应当按程序报本级党委和政府审议；各部门预算草案应当报本部门党组（党委）审议。</w:t>
      </w:r>
    </w:p>
    <w:p>
      <w:pPr>
        <w:spacing w:line="400" w:lineRule="exact"/>
        <w:ind w:firstLine="420" w:firstLineChars="200"/>
        <w:jc w:val="left"/>
      </w:pPr>
    </w:p>
    <w:p>
      <w:pPr>
        <w:spacing w:line="400" w:lineRule="exact"/>
        <w:ind w:firstLine="420" w:firstLineChars="200"/>
        <w:jc w:val="left"/>
      </w:pPr>
      <w:r>
        <w:rPr>
          <w:rFonts w:hint="eastAsia"/>
        </w:rPr>
        <w:t>（八）合理安排支出预算规模。坚持量入为出原则，积极运用零基预算理念，打破支出固化僵化格局，合理确定支出预算规模，调整完善相关重点支出的预算编制程序，不再与财政收支增幅或生产总值层层挂钩。充分发挥财政政策逆周期调节作用，安排财政赤字和举借债务要与经济逆周期调节相适应，将政府杠杆率控制在合理水平，并预留应对经济周期变化的政策空间。</w:t>
      </w:r>
    </w:p>
    <w:p>
      <w:pPr>
        <w:spacing w:line="400" w:lineRule="exact"/>
        <w:ind w:firstLine="420" w:firstLineChars="200"/>
        <w:jc w:val="left"/>
      </w:pPr>
    </w:p>
    <w:p>
      <w:pPr>
        <w:spacing w:line="400" w:lineRule="exact"/>
        <w:ind w:firstLine="420" w:firstLineChars="200"/>
        <w:jc w:val="left"/>
      </w:pPr>
      <w:r>
        <w:rPr>
          <w:rFonts w:hint="eastAsia"/>
        </w:rPr>
        <w:t>（九）大力优化财政支出结构。各级预算安排要突出重点，坚持“三保”（保基本民生、保工资、保运转）支出在财政支出中的优先顺序，坚决兜住“三保”底线，不留硬缺口。严格控制竞争性领域财政投入，强化对具有正外部性创新发展的支持。不折不扣落实过紧日子要求，厉行节约办一切事业，建立节约型财政保障机制，精打细算，严控一般性支出。严禁违反规定乱开口子、随意追加预算。严格控制政府性楼堂馆所建设，严格控制和执行资产配置标准，暂时没有标准的要从严控制、避免浪费。清理压缩各种福利性、普惠性、基数化奖励。优化国有资本经营预算支出结构，强化资本金注入，推动国有经济布局优化和结构调整。</w:t>
      </w:r>
    </w:p>
    <w:p>
      <w:pPr>
        <w:spacing w:line="400" w:lineRule="exact"/>
        <w:ind w:firstLine="420" w:firstLineChars="200"/>
        <w:jc w:val="left"/>
      </w:pPr>
    </w:p>
    <w:p>
      <w:pPr>
        <w:spacing w:line="400" w:lineRule="exact"/>
        <w:ind w:firstLine="420" w:firstLineChars="200"/>
        <w:jc w:val="left"/>
      </w:pPr>
      <w:r>
        <w:rPr>
          <w:rFonts w:hint="eastAsia"/>
        </w:rPr>
        <w:t>（十）完善财政资金直达机制。在保持现行财政体制、资金管理权限和保障主体责任基本稳定的前提下，稳步扩大直达资金范围。完善直达资金分配审核流程，加强对地方分配直达资金情况的监督，确保资金安排符合相关制度规定、体现政策导向。建立健全直达资金监控体系，加强部门协同联动，强化从资金源头到使用末端的全过程、全链条、全方位监管，资金监管“一竿子插到底”,确保资金直达使用单位、直接惠企利民，防止挤占挪用、沉淀闲置等，提高财政资金使用的有效性和精准性。</w:t>
      </w:r>
    </w:p>
    <w:p>
      <w:pPr>
        <w:spacing w:line="400" w:lineRule="exact"/>
        <w:ind w:firstLine="420" w:firstLineChars="200"/>
        <w:jc w:val="left"/>
      </w:pPr>
    </w:p>
    <w:p>
      <w:pPr>
        <w:spacing w:line="400" w:lineRule="exact"/>
        <w:ind w:firstLine="420" w:firstLineChars="200"/>
        <w:jc w:val="left"/>
      </w:pPr>
      <w:r>
        <w:rPr>
          <w:rFonts w:hint="eastAsia"/>
        </w:rPr>
        <w:t>（十一）推进支出标准体系建设。建立国家基础标准和地方标准相结合的基本公共服务保障标准体系，由财政部会同中央有关职能部门按程序制定国家基础标准，地方结合公共服务状况、支出成本差异、财政承受能力等因素因地制宜制定地方标准，按程序报上级备案后执行。鼓励各地区结合实际在国家尚未出台基础标准的领域制定地方标准。各地区要围绕“三保”等基本需要研究制定县级标准。根据支出政策、项目要素及成本、财力水平等，建立不同行业、不同地区、分类分档的预算项目支出标准体系。根据经济社会发展、物价变动和财力变化等动态调整支出标准。加强对项目执行情况的分析和结果运用，将科学合理的实际执行情况作为制定和调整标准的依据。加快推进项目要素、项目文本、绩效指标等标准化规范化。将支出标准作为预算编制的基本依据，不得超标准编制预算。</w:t>
      </w:r>
    </w:p>
    <w:p>
      <w:pPr>
        <w:spacing w:line="400" w:lineRule="exact"/>
        <w:ind w:firstLine="420" w:firstLineChars="200"/>
        <w:jc w:val="left"/>
      </w:pPr>
    </w:p>
    <w:p>
      <w:pPr>
        <w:spacing w:line="400" w:lineRule="exact"/>
        <w:ind w:firstLine="420" w:firstLineChars="200"/>
        <w:jc w:val="left"/>
      </w:pPr>
      <w:r>
        <w:rPr>
          <w:rFonts w:hint="eastAsia"/>
        </w:rPr>
        <w:t>四、严格预算编制管理，增强财政预算完整性</w:t>
      </w:r>
    </w:p>
    <w:p>
      <w:pPr>
        <w:spacing w:line="400" w:lineRule="exact"/>
        <w:ind w:firstLine="420" w:firstLineChars="200"/>
        <w:jc w:val="left"/>
      </w:pPr>
    </w:p>
    <w:p>
      <w:pPr>
        <w:spacing w:line="400" w:lineRule="exact"/>
        <w:ind w:firstLine="420" w:firstLineChars="200"/>
        <w:jc w:val="left"/>
      </w:pPr>
      <w:r>
        <w:rPr>
          <w:rFonts w:hint="eastAsia"/>
        </w:rPr>
        <w:t>（十二）改进政府预算编制。上级政府应当依法依规提前下达转移支付和新增地方政府债务限额预计数，增强地方预算编制的完整性、主动性。下级政府应当严格按照提前下达数如实编制预算，既不得虚列收支、增加规模，也不得少列收支、脱离监督。进一步优化转移支付体系，完善转移支付资金分配方法，健全转移支付定期评估和动态调整、退出机制，提高转移支付管理的规范性、科学性、合理性。规范国有资本经营预算编制，经本级人大或其常委会批准，国有资本规模较小或国有企业数量较少的市县可以不编制本级国有资本经营预算。</w:t>
      </w:r>
    </w:p>
    <w:p>
      <w:pPr>
        <w:spacing w:line="400" w:lineRule="exact"/>
        <w:ind w:firstLine="420" w:firstLineChars="200"/>
        <w:jc w:val="left"/>
      </w:pPr>
    </w:p>
    <w:p>
      <w:pPr>
        <w:spacing w:line="400" w:lineRule="exact"/>
        <w:ind w:firstLine="420" w:firstLineChars="200"/>
        <w:jc w:val="left"/>
      </w:pPr>
      <w:r>
        <w:rPr>
          <w:rFonts w:hint="eastAsia"/>
        </w:rPr>
        <w:t>（十三）加强跨年度预算平衡。加强中期财政规划管理，进一步增强与国家发展规划的衔接，强化中期财政规划对年度预算的约束。对各类合规确定的中长期支出事项和跨年度项目，要根据项目预算管理等要求，将全生命周期内对财政支出的影响纳入中期财政规划。地方政府举借债务应当严格落实偿债资金来源，科学测算评估预期偿债收入，合理制定偿债计划，并在中期财政规划中如实反映。鼓励地方结合项目偿债收入情况，建立政府偿债备付金制度。</w:t>
      </w:r>
    </w:p>
    <w:p>
      <w:pPr>
        <w:spacing w:line="400" w:lineRule="exact"/>
        <w:ind w:firstLine="420" w:firstLineChars="200"/>
        <w:jc w:val="left"/>
      </w:pPr>
    </w:p>
    <w:p>
      <w:pPr>
        <w:spacing w:line="400" w:lineRule="exact"/>
        <w:ind w:firstLine="420" w:firstLineChars="200"/>
        <w:jc w:val="left"/>
      </w:pPr>
      <w:r>
        <w:rPr>
          <w:rFonts w:hint="eastAsia"/>
        </w:rPr>
        <w:t>（十四）加强部门和单位预算管理。政府的全部收入和支出都应当依法纳入预算，执行统一的预算管理制度。落实部门和单位预算管理主体责任，部门和单位要对预算完整性、规范性、真实性以及执行结果负责。各部门要统筹各类资金资产，结合本部门非财政拨款收入情况统筹申请预算，保障合理支出需求。将项目作为部门和单位预算管理的基本单元，预算支出全部以项目形式纳入预算项目库，实施项目全生命周期管理，未纳入预算项目库的项目一律不得安排预算。有关部门负责安排的建设项目，要按规定纳入部门项目库并纳入预算项目库。实行项目标准化分类，规范立项依据、实施期限、支出标准、预算需求等要素。建立健全项目入库评审机制和项目滚动管理机制。做实做细项目储备，纳入预算项目库的项目应当按规定完成可行性研究论证、制定具体实施计划等各项前期工作，做到预算一经批准即可实施，并按照轻重缓急等排序，突出保障重点。推进运用成本效益分析等方法研究开展事前绩效评估。依法依规管理预算代编事项，除应急、救灾等特殊事项外，部门不得代编应由所属单位实施的项目预算。</w:t>
      </w:r>
    </w:p>
    <w:p>
      <w:pPr>
        <w:spacing w:line="400" w:lineRule="exact"/>
        <w:ind w:firstLine="420" w:firstLineChars="200"/>
        <w:jc w:val="left"/>
      </w:pPr>
    </w:p>
    <w:p>
      <w:pPr>
        <w:spacing w:line="400" w:lineRule="exact"/>
        <w:ind w:firstLine="420" w:firstLineChars="200"/>
        <w:jc w:val="left"/>
      </w:pPr>
      <w:r>
        <w:rPr>
          <w:rFonts w:hint="eastAsia"/>
        </w:rPr>
        <w:t>（十五）完善政府财务报告体系。建立完善权责发生制政府综合财务报告制度，全面客观反映政府资产负债与财政可持续性情况。健全财政总预算会计制度，将财政财务信息内容从预算收支信息扩展至资产、负债、投资等信息。推动预算单位深化政府会计改革，全面有效实施政府会计标准体系，完善权责发生制会计核算基础。完善国有资产管理情况报告制度，做好与政府综合财务报告的衔接。</w:t>
      </w:r>
    </w:p>
    <w:p>
      <w:pPr>
        <w:spacing w:line="400" w:lineRule="exact"/>
        <w:ind w:firstLine="420" w:firstLineChars="200"/>
        <w:jc w:val="left"/>
      </w:pPr>
    </w:p>
    <w:p>
      <w:pPr>
        <w:spacing w:line="400" w:lineRule="exact"/>
        <w:ind w:firstLine="420" w:firstLineChars="200"/>
        <w:jc w:val="left"/>
      </w:pPr>
      <w:r>
        <w:rPr>
          <w:rFonts w:hint="eastAsia"/>
        </w:rPr>
        <w:t>五、强化预算执行和绩效管理，增强预算约束力</w:t>
      </w:r>
    </w:p>
    <w:p>
      <w:pPr>
        <w:spacing w:line="400" w:lineRule="exact"/>
        <w:ind w:firstLine="420" w:firstLineChars="200"/>
        <w:jc w:val="left"/>
      </w:pPr>
    </w:p>
    <w:p>
      <w:pPr>
        <w:spacing w:line="400" w:lineRule="exact"/>
        <w:ind w:firstLine="420" w:firstLineChars="200"/>
        <w:jc w:val="left"/>
      </w:pPr>
      <w:r>
        <w:rPr>
          <w:rFonts w:hint="eastAsia"/>
        </w:rPr>
        <w:t>（十六）强化预算对执行的控制。严格执行人大批准的预算，预算一经批准非经法定程序不得调整。对预算指标实行统一规范的核算管理，精准反映预算指标变化，实现预算指标对执行的有效控制。坚持先有预算后有支出，严禁超预算、无预算安排支出或开展政府采购，严禁将国库资金违规拨入财政专户。严禁出台溯及以前年度的增支政策，新的增支政策原则上通过以后年度预算安排支出。规范预算调剂行为。规范按权责发生制列支事项，市县级财政国库集中支付结余不再按权责发生制列支。严禁以拨代支，进一步加强地方财政暂付性款项管理，除已按规定程序审核批准的事项外，不得对未列入预算的项目安排支出。加强对政府投资基金设立和出资的预算约束，提高资金使用效益。加强国有资本管理与监督，确保国有资本安全和保值增值。</w:t>
      </w:r>
    </w:p>
    <w:p>
      <w:pPr>
        <w:spacing w:line="400" w:lineRule="exact"/>
        <w:ind w:firstLine="420" w:firstLineChars="200"/>
        <w:jc w:val="left"/>
      </w:pPr>
    </w:p>
    <w:p>
      <w:pPr>
        <w:spacing w:line="400" w:lineRule="exact"/>
        <w:ind w:firstLine="420" w:firstLineChars="200"/>
        <w:jc w:val="left"/>
      </w:pPr>
      <w:r>
        <w:rPr>
          <w:rFonts w:hint="eastAsia"/>
        </w:rPr>
        <w:t>（十七）推动预算绩效管理提质增效。将落实党中央、国务院重大决策部署作为预算绩效管理重点，加强财政政策评估评价，增强政策可行性和财政可持续性。加强重点领域预算绩效管理，分类明确转移支付绩效管理重点，强化引导约束。加强对政府和社会资本合作、政府购买服务等项目的全过程绩效管理。加强国有资本资产使用绩效管理，提高使用效益。加强绩效评价结果应用，将绩效评价结果与完善政策、调整预算安排有机衔接，对低效无效资金一律削减或取消，对沉淀资金一律按规定收回并统筹安排。加大绩效信息公开力度，推动绩效目标、绩效评价结果向社会公开。</w:t>
      </w:r>
    </w:p>
    <w:p>
      <w:pPr>
        <w:spacing w:line="400" w:lineRule="exact"/>
        <w:ind w:firstLine="420" w:firstLineChars="200"/>
        <w:jc w:val="left"/>
      </w:pPr>
    </w:p>
    <w:p>
      <w:pPr>
        <w:spacing w:line="400" w:lineRule="exact"/>
        <w:ind w:firstLine="420" w:firstLineChars="200"/>
        <w:jc w:val="left"/>
      </w:pPr>
      <w:r>
        <w:rPr>
          <w:rFonts w:hint="eastAsia"/>
        </w:rPr>
        <w:t>（十八）优化国库集中收付管理。对政府全部收入和支出实行国库集中收付管理。完善国库集中支付控制体系和集中校验机制，实行全流程电子支付，优化预算支出审核流程，全面提升资金支付效率。根据预算收入进度和资金调度需要等，合理安排国债、地方政府债券的发行规模和节奏，节省资金成本。优化国债品种期限结构，发挥国债收益率曲线定价基准作用。完善财政收支和国库现金流量预测体系，建立健全库款风险预警机制，统筹协调国库库款管理、政府债券发行与国库现金运作。</w:t>
      </w:r>
    </w:p>
    <w:p>
      <w:pPr>
        <w:spacing w:line="400" w:lineRule="exact"/>
        <w:ind w:firstLine="420" w:firstLineChars="200"/>
        <w:jc w:val="left"/>
      </w:pPr>
    </w:p>
    <w:p>
      <w:pPr>
        <w:spacing w:line="400" w:lineRule="exact"/>
        <w:ind w:firstLine="420" w:firstLineChars="200"/>
        <w:jc w:val="left"/>
      </w:pPr>
      <w:r>
        <w:rPr>
          <w:rFonts w:hint="eastAsia"/>
        </w:rPr>
        <w:t>（十九）拓展政府采购政策功能。建立政府采购需求标准体系，鼓励相关部门结合部门和行业特点提出政府采购相关政策需求，推动在政府采购需求标准中嵌入支持创新、绿色发展等政策要求。细化政府采购预算编制，确保与年度预算相衔接。建立支持创新产品及服务、中小企业发展等政策落实的预算编制和资金支付控制机制。对于适合以市场化方式提供的服务事项，应当依法依规实施政府购买服务，坚持费随事转，防止出现“一边购买服务，一边养人办事”的情况。</w:t>
      </w:r>
    </w:p>
    <w:p>
      <w:pPr>
        <w:spacing w:line="400" w:lineRule="exact"/>
        <w:ind w:firstLine="420" w:firstLineChars="200"/>
        <w:jc w:val="left"/>
      </w:pPr>
    </w:p>
    <w:p>
      <w:pPr>
        <w:spacing w:line="400" w:lineRule="exact"/>
        <w:ind w:firstLine="420" w:firstLineChars="200"/>
        <w:jc w:val="left"/>
      </w:pPr>
      <w:r>
        <w:rPr>
          <w:rFonts w:hint="eastAsia"/>
        </w:rPr>
        <w:t>六、加强风险防控，增强财政可持续性</w:t>
      </w:r>
    </w:p>
    <w:p>
      <w:pPr>
        <w:spacing w:line="400" w:lineRule="exact"/>
        <w:ind w:firstLine="420" w:firstLineChars="200"/>
        <w:jc w:val="left"/>
      </w:pPr>
    </w:p>
    <w:p>
      <w:pPr>
        <w:spacing w:line="400" w:lineRule="exact"/>
        <w:ind w:firstLine="420" w:firstLineChars="200"/>
        <w:jc w:val="left"/>
      </w:pPr>
      <w:r>
        <w:rPr>
          <w:rFonts w:hint="eastAsia"/>
        </w:rPr>
        <w:t>（二十）健全地方政府依法适度举债机制。健全地方政府债务限额确定机制，一般债务限额与一般公共预算收入相匹配，专项债务限额与政府性基金预算收入及项目收益相匹配。完善专项债券管理机制，专项债券必须用于有一定收益的公益性建设项目，建立健全专项债券项目全生命周期收支平衡机制，实现融资规模与项目收益相平衡，专项债券期限要与项目期限相匹配，专项债券项目对应的政府性基金收入、专项收入应当及时足额缴入国库，保障专项债券到期本息偿付。完善以债务率为主的政府债务风险评估指标体系，建立健全政府债务与项目资产、收益相对应的制度，综合评估政府偿债能力。加强风险评估预警结果应用，有效前移风险防控关口。依法落实到期法定债券偿还责任。健全地方政府债务信息公开及债券信息披露机制，发挥全国统一的地方政府债务信息公开平台作用，全面覆盖债券参与主体和机构，打通地方政府债券管理全链条，促进形成市场化融资自律约束机制。</w:t>
      </w:r>
    </w:p>
    <w:p>
      <w:pPr>
        <w:spacing w:line="400" w:lineRule="exact"/>
        <w:ind w:firstLine="420" w:firstLineChars="200"/>
        <w:jc w:val="left"/>
      </w:pPr>
    </w:p>
    <w:p>
      <w:pPr>
        <w:spacing w:line="400" w:lineRule="exact"/>
        <w:ind w:firstLine="420" w:firstLineChars="200"/>
        <w:jc w:val="left"/>
      </w:pPr>
      <w:r>
        <w:rPr>
          <w:rFonts w:hint="eastAsia"/>
        </w:rPr>
        <w:t>（二十一）防范化解地方政府隐性债务风险。把防范化解地方政府隐性债务风险作为重要的政治纪律和政治规矩，坚决遏制隐性债务增量，妥善处置和化解隐性债务存量。完善常态化监控机制，进一步加强日常监督管理，决不允许新增隐性债务上新项目、铺新摊子。强化国有企事业单位监管，依法健全地方政府及其部门向企事业单位拨款机制，严禁地方政府以企业债务形式增加隐性债务。严禁地方政府通过金融机构违规融资或变相举债。金融机构要审慎合规经营，尽职调查、严格把关，严禁要求或接受地方党委、人大、政府及其部门出具担保性质文件或者签署担保性质协议。清理规范地方融资平台公司，剥离其政府融资职能，对失去清偿能力的要依法实施破产重整或清算。健全市场化、法治化的债务违约处置机制，鼓励债务人、债权人协商处置存量债务，切实防范恶意逃废债，保护债权人合法权益，坚决防止风险累积形成系统性风险。加强督查审计问责，严格落实政府举债终身问责制和债务问题倒查机制。</w:t>
      </w:r>
    </w:p>
    <w:p>
      <w:pPr>
        <w:spacing w:line="400" w:lineRule="exact"/>
        <w:ind w:firstLine="420" w:firstLineChars="200"/>
        <w:jc w:val="left"/>
      </w:pPr>
    </w:p>
    <w:p>
      <w:pPr>
        <w:spacing w:line="400" w:lineRule="exact"/>
        <w:ind w:firstLine="420" w:firstLineChars="200"/>
        <w:jc w:val="left"/>
      </w:pPr>
      <w:r>
        <w:rPr>
          <w:rFonts w:hint="eastAsia"/>
        </w:rPr>
        <w:t>（二十二）防范化解财政运行风险隐患。推进养老保险全国统筹，坚持精算平衡，加强基金运行监测，防范待遇支付风险。加强医疗、失业、工伤等社保基金管理，推进省级统筹，根据收支状况及时调整完善缴费和待遇政策，促进收支基本平衡。各地区出台涉及增加财政支出的重大政策或实施重大政府投资项目前，要按规定进行财政承受能力评估，未通过评估的不得安排预算。规范政府和社会资本合作项目管理。各部门出台政策时要考虑地方财政承受能力。除党中央、国务院统一要求以及共同事权地方应负担部分外，上级政府及其部门不得出台要求下级配套或以达标评比、考核评价等名目变相配套的政策。加强政府中长期支出事项管理，客观评估对财政可持续性的影响。</w:t>
      </w:r>
    </w:p>
    <w:p>
      <w:pPr>
        <w:spacing w:line="400" w:lineRule="exact"/>
        <w:ind w:firstLine="420" w:firstLineChars="200"/>
        <w:jc w:val="left"/>
      </w:pPr>
    </w:p>
    <w:p>
      <w:pPr>
        <w:spacing w:line="400" w:lineRule="exact"/>
        <w:ind w:firstLine="420" w:firstLineChars="200"/>
        <w:jc w:val="left"/>
      </w:pPr>
      <w:r>
        <w:rPr>
          <w:rFonts w:hint="eastAsia"/>
        </w:rPr>
        <w:t>七、增强财政透明度，提高预算管理信息化水平</w:t>
      </w:r>
    </w:p>
    <w:p>
      <w:pPr>
        <w:spacing w:line="400" w:lineRule="exact"/>
        <w:ind w:firstLine="420" w:firstLineChars="200"/>
        <w:jc w:val="left"/>
      </w:pPr>
    </w:p>
    <w:p>
      <w:pPr>
        <w:spacing w:line="400" w:lineRule="exact"/>
        <w:ind w:firstLine="420" w:firstLineChars="200"/>
        <w:jc w:val="left"/>
      </w:pPr>
      <w:r>
        <w:rPr>
          <w:rFonts w:hint="eastAsia"/>
        </w:rPr>
        <w:t>（二十三）改进预决算公开。加大各级政府预决算公开力度，大力推进财政政策公开。扩大部门预决算公开范围，各部门所属预算单位预算、决算及相关报表应当依法依规向社会公开。推进政府投资基金、收费基金、国有资本收益、政府采购意向等信息按规定向社会公开。建立民生项目信息公示制度。细化政府预决算公开内容，转移支付资金管理办法及绩效目标、预算安排情况等应当依法依规向社会公开。细化部门预决算公开内容，项目预算安排、使用情况等项目信息应当依法依规向社会公开。推进按支出经济分类公开政府预决算和部门预决算。</w:t>
      </w:r>
    </w:p>
    <w:p>
      <w:pPr>
        <w:spacing w:line="400" w:lineRule="exact"/>
        <w:ind w:firstLine="420" w:firstLineChars="200"/>
        <w:jc w:val="left"/>
      </w:pPr>
    </w:p>
    <w:p>
      <w:pPr>
        <w:spacing w:line="400" w:lineRule="exact"/>
        <w:ind w:firstLine="420" w:firstLineChars="200"/>
        <w:jc w:val="left"/>
      </w:pPr>
      <w:r>
        <w:rPr>
          <w:rFonts w:hint="eastAsia"/>
        </w:rPr>
        <w:t>（二十四）发挥多种监督方式的协同效应。充分发挥党内监督的主导作用，加强财会监督，促进财会监督与党内监督、监察监督、行政监督、司法监督、审计监督、统计监督、群众监督、舆论监督等协同发力。各级政府、各部门要依法接受各级人大及其常委会、审计部门的监督。推进人大预算联网监督工作。各级财政部门要做好财税法规和政策执行情况、预算管理有关监督工作，构建日常监管与专项监督协调配合的监督机制。强化监督结果运用，对监督发现的问题，严格依规依纪依法追究有关单位和人员责任，加大处理结果公开力度。</w:t>
      </w:r>
    </w:p>
    <w:p>
      <w:pPr>
        <w:spacing w:line="400" w:lineRule="exact"/>
        <w:ind w:firstLine="420" w:firstLineChars="200"/>
        <w:jc w:val="left"/>
      </w:pPr>
    </w:p>
    <w:p>
      <w:pPr>
        <w:spacing w:line="400" w:lineRule="exact"/>
        <w:ind w:firstLine="420" w:firstLineChars="200"/>
        <w:jc w:val="left"/>
      </w:pPr>
      <w:r>
        <w:rPr>
          <w:rFonts w:hint="eastAsia"/>
        </w:rPr>
        <w:t>（二十五）实现中央和地方财政系统信息贯通。用信息化手段支撑中央和地方预算管理，规范各级预算管理工作流程等，统一数据标准，推动数据共享。以省级财政为主体加快建设覆盖本地区的预算管理一体化系统并与中央财政对接，动态反映各级预算安排和执行情况，力争2022年底全面运行。中央部门根据国家政务信息化建设进展同步推进相关信息系统建设。建立完善全覆盖、全链条的转移支付资金监控机制，实时记录和动态反映转移支付资金分配、拨付、使用情况，实现资金从预算安排源头到使用末端全过程来源清晰、流向明确、账目可查、账实相符。</w:t>
      </w:r>
    </w:p>
    <w:p>
      <w:pPr>
        <w:spacing w:line="400" w:lineRule="exact"/>
        <w:ind w:firstLine="420" w:firstLineChars="200"/>
        <w:jc w:val="left"/>
      </w:pPr>
    </w:p>
    <w:p>
      <w:pPr>
        <w:spacing w:line="400" w:lineRule="exact"/>
        <w:ind w:firstLine="420" w:firstLineChars="200"/>
        <w:jc w:val="left"/>
      </w:pPr>
      <w:r>
        <w:rPr>
          <w:rFonts w:hint="eastAsia"/>
        </w:rPr>
        <w:t>（二十六）推进部门间预算信息互联共享。预算管理一体化系统集中反映单位基础信息和会计核算、资产管理、账户管理等预算信息，实现财政部门与主管部门共享共用。积极推动财政与组织、人力资源和社会保障、税务、人民银行、审计、公安、市场监管等部门实现基础信息按规定共享共用。落实部门和单位财务管理主体责任，强化部门对所属单位预算执行的监控管理职责。</w:t>
      </w:r>
    </w:p>
    <w:p>
      <w:pPr>
        <w:spacing w:line="400" w:lineRule="exact"/>
        <w:ind w:firstLine="420" w:firstLineChars="200"/>
        <w:jc w:val="left"/>
      </w:pPr>
    </w:p>
    <w:p>
      <w:pPr>
        <w:spacing w:line="400" w:lineRule="exact"/>
        <w:ind w:firstLine="420" w:firstLineChars="200"/>
        <w:jc w:val="left"/>
      </w:pPr>
      <w:r>
        <w:rPr>
          <w:rFonts w:hint="eastAsia"/>
        </w:rPr>
        <w:t>各地区、各部门要充分认识到进一步深化预算管理制度改革的重要意义，把思想认识和行动统一到党中央、国务院的决策部署上来，增强“四个意识”、坚定“四个自信”、做到“两个维护”，主动谋划，精心组织，扎实推进改革。各地区要按照本意见要求，结合本地区实际，细化各项政策措施，切实加强制度建设，夯实改革基础，推进人才队伍建设，确保各项改革任务及时落地见效，推动预算管理水平再上新台阶。</w:t>
      </w:r>
    </w:p>
    <w:p/>
    <w:p>
      <w:pPr>
        <w:ind w:right="420" w:firstLine="6615" w:firstLineChars="3150"/>
      </w:pPr>
      <w:r>
        <w:rPr>
          <w:rFonts w:hint="eastAsia"/>
        </w:rPr>
        <w:t>国务院</w:t>
      </w:r>
    </w:p>
    <w:p/>
    <w:p>
      <w:pPr>
        <w:ind w:right="420" w:firstLine="6195" w:firstLineChars="2950"/>
        <w:rPr>
          <w:rFonts w:hint="eastAsia"/>
        </w:rPr>
      </w:pPr>
      <w:r>
        <w:rPr>
          <w:rFonts w:hint="eastAsia"/>
        </w:rPr>
        <w:t>2021年3月7日</w:t>
      </w: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rPr>
          <w:rFonts w:hint="eastAsia"/>
        </w:rPr>
      </w:pPr>
    </w:p>
    <w:p>
      <w:pPr>
        <w:ind w:right="420" w:firstLine="6195" w:firstLineChars="2950"/>
      </w:pPr>
    </w:p>
    <w:p>
      <w:pPr>
        <w:spacing w:line="400" w:lineRule="exact"/>
        <w:ind w:firstLine="520" w:firstLineChars="200"/>
        <w:jc w:val="left"/>
        <w:rPr>
          <w:rFonts w:ascii="方正仿宋简体" w:hAnsi="方正仿宋简体" w:eastAsia="方正仿宋简体" w:cs="方正仿宋简体"/>
          <w:sz w:val="26"/>
          <w:szCs w:val="26"/>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p>
    <w:p>
      <w:pPr>
        <w:spacing w:line="720" w:lineRule="auto"/>
        <w:jc w:val="center"/>
        <w:rPr>
          <w:rFonts w:ascii="黑体" w:hAnsi="黑体" w:eastAsia="黑体" w:cs="方正仿宋简体"/>
          <w:sz w:val="100"/>
          <w:szCs w:val="100"/>
        </w:rPr>
      </w:pPr>
      <w:r>
        <w:rPr>
          <w:rFonts w:hint="eastAsia" w:ascii="黑体" w:hAnsi="黑体" w:eastAsia="黑体" w:cs="方正仿宋简体"/>
          <w:sz w:val="100"/>
          <w:szCs w:val="100"/>
        </w:rPr>
        <w:t>二、政府规章</w:t>
      </w:r>
    </w:p>
    <w:p>
      <w:pPr>
        <w:spacing w:line="400" w:lineRule="exact"/>
        <w:jc w:val="center"/>
        <w:rPr>
          <w:rFonts w:ascii="方正仿宋简体" w:hAnsi="方正仿宋简体" w:eastAsia="方正仿宋简体" w:cs="方正仿宋简体"/>
          <w:bCs/>
          <w:iCs/>
          <w:sz w:val="26"/>
          <w:szCs w:val="26"/>
        </w:rPr>
      </w:pPr>
    </w:p>
    <w:p>
      <w:pPr>
        <w:spacing w:line="400" w:lineRule="exact"/>
        <w:jc w:val="center"/>
        <w:rPr>
          <w:rFonts w:ascii="方正仿宋简体" w:hAnsi="方正仿宋简体" w:eastAsia="方正仿宋简体" w:cs="方正仿宋简体"/>
          <w:bCs/>
          <w:iCs/>
          <w:sz w:val="26"/>
          <w:szCs w:val="26"/>
        </w:rPr>
      </w:pPr>
    </w:p>
    <w:p>
      <w:pPr>
        <w:spacing w:line="360" w:lineRule="auto"/>
        <w:jc w:val="center"/>
        <w:rPr>
          <w:rFonts w:ascii="黑体" w:hAnsi="黑体" w:eastAsia="黑体" w:cs="方正仿宋简体"/>
          <w:bCs/>
          <w:iCs/>
          <w:sz w:val="80"/>
          <w:szCs w:val="80"/>
        </w:rPr>
        <w:sectPr>
          <w:pgSz w:w="11900" w:h="16838"/>
          <w:pgMar w:top="1417" w:right="1701" w:bottom="1417" w:left="1701" w:header="850" w:footer="850" w:gutter="0"/>
          <w:cols w:space="720" w:num="1"/>
          <w:docGrid w:type="lines" w:linePitch="366" w:charSpace="0"/>
        </w:sectPr>
      </w:pPr>
      <w:r>
        <w:rPr>
          <w:rFonts w:hint="eastAsia" w:ascii="黑体" w:hAnsi="黑体" w:eastAsia="黑体" w:cs="方正仿宋简体"/>
          <w:bCs/>
          <w:iCs/>
          <w:sz w:val="80"/>
          <w:szCs w:val="80"/>
        </w:rPr>
        <w:t>(一)事业国有资产管理</w:t>
      </w: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国务院关于改革和完善国有资产管理体制的</w:t>
      </w: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若干意见</w:t>
      </w:r>
    </w:p>
    <w:p>
      <w:pPr>
        <w:autoSpaceDE w:val="0"/>
        <w:autoSpaceDN w:val="0"/>
        <w:spacing w:line="400" w:lineRule="exact"/>
        <w:ind w:firstLine="520" w:firstLineChars="200"/>
        <w:jc w:val="left"/>
        <w:rPr>
          <w:rFonts w:ascii="方正仿宋简体" w:hAnsi="方正仿宋简体" w:eastAsia="方正仿宋简体" w:cs="方正仿宋简体"/>
          <w:b/>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 xml:space="preserve">各省、自治区、直辖市人民政府，国务院各部委、各直属机构： </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改革开放以来，我国国有资产管理体制改革稳步推进，国有资产出资人代表制度基本建立，保值增值责任初步得到落实，国有资产规模、利润水平、竞争能力得到较大提升。但必须看到，现行国有资产管理体制中政企不分、政资不分问题依然存在，国有资产监管还存在越位、缺位、错位现象；国有资产监督机制不健全，国有资产流失、违纪违法问题在一些领域和企业比较突出；国有经济布局结构有待进一步优化，国有资本配置效率不高等问题亟待解决。按照《中共中央关于全面深化改革若干重大问题的决定》和国务院有关部署，现就改革和完善国有资产管理体制提出以下意见。</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一、总体要求</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bidi="zh-CN"/>
        </w:rPr>
      </w:pPr>
      <w:r>
        <w:rPr>
          <w:rFonts w:hint="eastAsia" w:ascii="方正仿宋简体" w:hAnsi="方正仿宋简体" w:eastAsia="方正仿宋简体" w:cs="方正仿宋简体"/>
          <w:bCs/>
          <w:iCs/>
          <w:kern w:val="0"/>
          <w:sz w:val="26"/>
          <w:szCs w:val="26"/>
          <w:lang w:val="zh-CN" w:bidi="zh-CN"/>
        </w:rPr>
        <w:t>（一）指导思想。深入贯彻落实党的十八大和十八届二中、三中、四中全会精神，按照党中央、国务院决策部署，坚持和完善社会主义基本经济制度，坚持社会主义市场经济改革方向，尊重市场经济规律和企业发展规律，正确处理好政府与市场的关系，以管资本为主加强国有资产监管，改革国有资本授权经营体制，真正确立国有企业的市场主体地位，推进国有资产监管机构职能转变，适应市场化、现代化、国际化新形势和经济发展新常态，不断增强国有经济活力、控制力、影响力和抗风</w:t>
      </w:r>
      <w:r>
        <w:rPr>
          <w:rFonts w:hint="eastAsia" w:ascii="方正仿宋简体" w:hAnsi="方正仿宋简体" w:eastAsia="方正仿宋简体" w:cs="方正仿宋简体"/>
          <w:bCs/>
          <w:iCs/>
          <w:kern w:val="0"/>
          <w:sz w:val="26"/>
          <w:szCs w:val="26"/>
          <w:lang w:bidi="zh-CN"/>
        </w:rPr>
        <w:t>险能力。</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基本原则。坚持权责明晰。实现政企分开、政资分开、所有权与经营权分离，依法理顺政府与国有企业的出资关系。切实转变政府职能，依法确立国有企业的市场主体地位，建立健全现代企业制度。坚持政府公共管理职能与国有资产出资人职能分开，确保国有企业依法自主经营，激发企业活力、创新力和内生动力。</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坚持突出重点。按照市场经济规则和现代企业制度要求，以管资本为主，以资本为纽带，以产权为基础，重点管好国有资本布局、规范资本运作、提高资本回报、维护资本安全。注重通过公司法人治理结构依法行使国有股东权利。</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坚持放管结合。按照权责明确、监管高效、规范透明的要求，推进国有资产监管机构职能和监管方式转变。该放的依法放开，切实增强企业活力，提高国有资本运营效率；该管的科学管好，严格防止国有资产流失，确保国有资产保值增值。</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坚持稳妥有序。处理好改革、发展、稳定的关系，突出改革和完善国有资产管理体制的系统性、协调性，以重点领域为突破口，先行试点，分步实施，统筹谋划，协同推进相关配套改革。</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二、推进国有资产监管机构职能转变</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准确把握国有资产监管机构的职责定位。国有资产监管机构作为政府直属特设机构，根据授权代表本级人民政府对监管企业依法履行出资人职责，科学界定国有资产出资人监管的边界，专司国有资产监管，不行使政府公共管理职能，不</w:t>
      </w:r>
      <w:r>
        <w:rPr>
          <w:rFonts w:hint="eastAsia" w:ascii="方正仿宋简体" w:hAnsi="方正仿宋简体" w:eastAsia="方正仿宋简体" w:cs="方正仿宋简体"/>
          <w:bCs/>
          <w:iCs/>
          <w:kern w:val="0"/>
          <w:sz w:val="26"/>
          <w:szCs w:val="26"/>
          <w:lang w:bidi="zh-CN"/>
        </w:rPr>
        <w:t>干预企业</w:t>
      </w:r>
      <w:r>
        <w:rPr>
          <w:rFonts w:hint="eastAsia" w:ascii="方正仿宋简体" w:hAnsi="方正仿宋简体" w:eastAsia="方正仿宋简体" w:cs="方正仿宋简体"/>
          <w:bCs/>
          <w:iCs/>
          <w:kern w:val="0"/>
          <w:sz w:val="26"/>
          <w:szCs w:val="26"/>
          <w:lang w:val="zh-CN" w:bidi="zh-CN"/>
        </w:rPr>
        <w:t>自主经营权。以管资本为主，重点管好国有资本布局、规范资本运作、提高资本回报、维护资本安全，更好服务于国家战略目标，实现保值增值。发挥国有资产监管机构专业化监管优势，逐步推进国有资产出资人监管全覆盖。</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进一步明确国有资产监管重点。加强战略规划引领，改进对监管企业主业界定和投资并购的管理方式，遵循市场机制，规范调整存量，科学配置增量，加快优化国有资本布局结构。加强对国有资本运营质量及监管企业财务状况的监测，强化国有产权流转环节监管，加大国有产权进场交易力度。按照国有企业的功能界定和类别实行分类监管。改进考核体系和办法，综合考核资本运营质量、效率和收益，以经济增加值为主，并将转型升级、创新驱动、合规经营、履行社会责任等纳入考核指标体系。着力完善激励约束机制，将国有企业领导人员考核结果与职务任免、薪酬待遇有机结合，严格规范国有企业领导人员薪酬分配。建立健全与劳动力市场基本适应，与企业经济效益、劳动生产率挂钩的工资决定和正常增长机制。推动监管企业不断优化公司法人治理结构，把加强党的领导和完善公司治理统一起来，建立国有企业领导人员分类分层管理制度。强化国有资产监督，加强和改进外派监事会制度，建立健全国有企业违法违规经营责任追究体系、国有企业重大决策失误和失职渎职责任追究倒查机制。</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推进国有资产监管机构职能转变。围绕增强监管企业活力和提高效率，聚焦监管内容，该管的要科学管理、决不缺位，不该管的要依法放权、决不越位。将国有资产监管机构行使的投资计划、部分产权管理和重大事项决策等出资人权利，授权国有资本投资、运营公司和其他直接监管的企业行使；将依法应由企业自主经营决策的事项归位于企业；加强对企业集团的整体监管，将延伸到子企业的管理事项原则上归位于一级企业，由一级企业依法依规决策；将国有资产监管机构配合承担的公共管理职能，归位于相关政府部门和单位。</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六）改进国有资产监管方式和手段。大力推进依法监管，着力创新监管方式和手段。按照事前规范制度、事中加强监控、事后强化问责的思路，更多运用法治化、市场化的监管方式，切实减少出资人审批核准事项，改变行政化管理方式。通过 “一企一策”制定公司章程、规范董事会运作、严格选派和管理股东代表和董事监事，将国有出资人意志有效体现在公司治理结构中。针对企业不同功能定位，在战略规划制定、资本运作模式、人员选用机制、经营业绩考核等方面，实施更加精准有效的分类监管。调整国有资产监管机构内部组织设置和职能配置，建立监管权力清单和责任清单，优化监管流程，提高监管效率。建立出资人监管信息化工作平台，推进监管工作协同，实现信息共享和动态监管。完善国有资产和国有企业信息公开制度，设立统一的信息公开网络平台，在不涉及国家秘密和企业商业秘密的前提下，依法依规及时准确地披露国有资本整体运营情况、企业国有资产保值增值及经营业绩考核总体情况、国有资产监管制度和监督检查情况，以及国有企业公司治理和管理架构、财务状况、关联交易、企业负责人薪酬等信息，建设阳光国企。</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三、改革国有资本授权经营体制</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改组组建国有资本投资、运营公司。主要通过划拨现有商业类国有企业的国有股权，以及国有资本经营预算注资组建，以提升国有资本运营效率、提高国有资本回报为主要目标，通过股权运作、价值管理、有序进退等方式，促进国有资本合理流动，实现保值增值；或选择具备一定条件的国有独资企业集团改组设立，以服务国家战略、提升产业竞争力为主要目标，在关系国家安全、国民经济命脉的重要行业和关键领域，通过开展投资融资、产业培育和资本整合等，推动产业集聚和转型升级，优化国有资本布局结构。</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八）明确国有资产监管机构与国有资本投资、运营公司关系。政府授权国有资产监管机构依法对国有资本投资、运营公司履行出资人职责。国有资产监管机构按照“一企一策”原则，明确对国有资本投资、运营公司授权的内容、范围和方式，依法落实国有资本投资、运营公司董事会职权。国有资本投资、运营公司对授权范围内的国有资本履行出资人职责，作为国有资本市场化运作的专业平台，依法自主开展国有资本运作，对所出资企业行使股东职责，维护股东合法权益，按照责权对应原则切实承担起国有资产保值增值责任。</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九）界定国有资本投资、运营公司与所出资企业关系。国有资本投资、运营公司依据公司法等相关法律法规，对所出资企业依法行使股东权利，以出资额为限承担有限责任。以财务性持股为主，建立财务管控模式，重点关注国有资本流动和增值状况；或以对战略性核心业务控股为主，建立以战略目标和财务效益为主的管控模式，重点关注所出资企业执行公司战略和资本回报状况。</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开展政府直接授权国有资本投资、运营公司履行出资人职责的试点工作。中央层面开展由国务院直接授权国有资本投资、运营公司试点等工作。地方政府可以根据实际情况，选择开展直接授权国有资本投资、运营公司试点工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四、提高国有资本配置和运营效率</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一）建立国有资本布局和结构调整机制。政府有关部门制定完善经济社会发展规划、产业政策和国有资本收益管理规则。国有资产监管机构根据政府宏观政策和有关管理要求，建立健全国有资本进退机制，制定国有资本投资负面清单，推动国有资本更多投向关系国家安全、国民经济命脉和国计民生的重要行业和关键领域。</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二）推进国有资本优化重组。坚持以市场为导向、以企业为主体，有进有退、有所为有所不为，优化国有资本布局结构，提高国有资本流动性，增强国有经济整体功能和提升效率。按照国有资本布局结构调整要求，加快推动国有资本向重要行业、关键领域、重点基础设施集中，向前瞻性战略性产业集中，向产业链关键环节和价值链高端领域集中，向具有核心竞争力的优势企业集中。清理退出一批、重组整合一批、创新发展一批国有企业，建立健全优胜劣汰市场化退出机制，加快淘汰落后产能和化解过剩产能，处置低效无效资产。推动国有企业加快技术创新、管理创新和商业模式创新。推进国有资本控股经营的自然垄断行业改革，根据不同行业特点放开竞争性业务，实现国有资本和社会资本更好融合。</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三）建立健全国有资本收益管理制度。财政部门会同国有资产监管机构等部门建立覆盖全部国有企业、分级管理的国有资本经营预算管理制度，根据国家宏观调控和国有资本布局结构调整要求，提出国有资本收益上交比例建议，报国务院批准后执行。在改组组建国有资本投资、运营公司以及实施国有企业重组过程中，国家根据需要将部分国有股权划转社会保障基金管理机构持有，分红和转让收益用于弥补养老等社会保障资金缺口。</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五、协同推进相关配套改革</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四）完善有关法律法规。健全国有资产监管法律法规体系，做好相关法律法规的立改废释工作。按照立法程序，抓紧推动开展企业国有资产法修订工作，出台相关配套法规，为完善国有资产管理体制夯实法律基础。根据国有企业公司制改革进展情况，推动适时废止全民所有制工业企业法。研究起草企业国有资产基础管理条例，统一管理规则。</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五）推进政府职能转变。进一步减少行政审批事项，大幅度削减政府通过国有企业行政性配置资源事项，区分政府公共管理职能与国有资产出资人管理职能，为国有资产管理体制改革完善提供环境条件。推进自然垄断行业改革，实行网运分开、特许经营。加快推进价格机制改革，严格规范政府定价行为，完善市场发现、形成价格的机制。推进行政性垄断行业成本公开、经营透明，发挥社会监督作用。</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六）落实相关配套政策。落实和完善国有企业重组整合涉及的资产评估增值、土地变更登记和国有资产无偿划转等方面税收优惠政策，切实明确国有企业改制重组过程中涉及的债权债务承接主体和责任，完善国有企业退出的相关政策，依法妥善处理劳动关系调整和社会保险关系接续等相关问题。</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七）妥善解决历史遗留问题。加快剥离企业办社会职能，针对“三供一业”（供水、供电、供热和物业管理）、离退休人员社会化管理、厂办大集体改革等问题，制定统筹规范、分类施策的措施，建立政府和国有企业合理分担成本的机制。国有资本经营预算支出优先用于解决国有企业历史遗留问题。</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八）稳步推进经营性国有资产集中统一监管。按照依法依规、分类推进、规范程序、市场运作的原则，以管资本为主，稳步将党政机关、事业单位所属企业的国有资本纳入经营性国有资产集中统一监管体系，具备条件的进入国有资本投资、运营公司。金融、文化等国有企业的改革，中央另有规定的依其规定执行。各地区要结合本地实际，制定具体改革实施方案，确保国有资产管理体制改革顺利进行，全面完成各项改革任务。</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5200" w:firstLineChars="20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 xml:space="preserve">国 务 院 </w:t>
      </w:r>
    </w:p>
    <w:p>
      <w:pPr>
        <w:spacing w:line="400" w:lineRule="exact"/>
        <w:ind w:firstLine="4290" w:firstLineChars="16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bCs/>
          <w:iCs/>
          <w:kern w:val="0"/>
          <w:sz w:val="26"/>
          <w:szCs w:val="26"/>
          <w:lang w:val="zh-CN" w:bidi="zh-CN"/>
        </w:rPr>
        <w:t>2015 年 10 月 25 日</w:t>
      </w: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left="420" w:leftChars="200"/>
        <w:jc w:val="center"/>
        <w:rPr>
          <w:rFonts w:ascii="方正小标宋简体" w:hAnsi="宋体" w:eastAsia="方正小标宋简体" w:cs="宋体"/>
          <w:b/>
          <w:bCs/>
          <w:color w:val="000000"/>
          <w:sz w:val="32"/>
          <w:szCs w:val="32"/>
          <w:lang w:val="zh-CN"/>
        </w:rPr>
      </w:pPr>
    </w:p>
    <w:p>
      <w:pPr>
        <w:spacing w:line="400" w:lineRule="exact"/>
        <w:ind w:firstLine="640" w:firstLineChars="200"/>
        <w:jc w:val="center"/>
        <w:rPr>
          <w:rFonts w:ascii="楷体" w:hAnsi="楷体" w:eastAsia="楷体" w:cs="宋体"/>
          <w:b/>
          <w:bCs/>
          <w:color w:val="000000"/>
          <w:sz w:val="32"/>
          <w:szCs w:val="32"/>
          <w:lang w:val="zh-CN"/>
        </w:rPr>
      </w:pPr>
      <w:r>
        <w:rPr>
          <w:rFonts w:hint="eastAsia" w:ascii="方正小标宋简体" w:hAnsi="宋体" w:eastAsia="方正小标宋简体" w:cs="宋体"/>
          <w:b/>
          <w:bCs/>
          <w:color w:val="000000"/>
          <w:sz w:val="32"/>
          <w:szCs w:val="32"/>
          <w:lang w:val="zh-CN"/>
        </w:rPr>
        <w:t>中华人民共和国财政部令第100号</w:t>
      </w:r>
      <w:r>
        <w:rPr>
          <w:rFonts w:hint="eastAsia" w:ascii="方正小标宋简体" w:hAnsi="宋体" w:eastAsia="方正小标宋简体" w:cs="宋体"/>
          <w:b/>
          <w:bCs/>
          <w:color w:val="000000"/>
          <w:sz w:val="32"/>
          <w:szCs w:val="32"/>
          <w:lang w:val="zh-CN"/>
        </w:rPr>
        <w:br w:type="textWrapping"/>
      </w:r>
      <w:r>
        <w:rPr>
          <w:rFonts w:hint="eastAsia" w:ascii="楷体" w:hAnsi="楷体" w:eastAsia="楷体" w:cs="宋体"/>
          <w:b/>
          <w:bCs/>
          <w:color w:val="000000"/>
          <w:sz w:val="32"/>
          <w:szCs w:val="32"/>
          <w:lang w:val="zh-CN"/>
        </w:rPr>
        <w:t>--财政部关于修改《事业单位国有资产管理暂行办法》的决定</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《财政部关于修改&lt;事业单位国有资产管理暂行办法&gt;的决定》已经财政部部务会议审议通过，现予公布，自公布之日起施行。</w:t>
      </w:r>
    </w:p>
    <w:p>
      <w:pPr>
        <w:pStyle w:val="12"/>
        <w:shd w:val="clear" w:color="auto" w:fill="FFFFFF"/>
        <w:spacing w:before="0" w:beforeAutospacing="0" w:after="0" w:afterAutospacing="0" w:line="400" w:lineRule="exact"/>
        <w:jc w:val="right"/>
        <w:rPr>
          <w:rFonts w:ascii="方正仿宋简体" w:eastAsia="方正仿宋简体"/>
          <w:color w:val="333333"/>
          <w:sz w:val="26"/>
          <w:szCs w:val="26"/>
        </w:rPr>
      </w:pPr>
      <w:r>
        <w:rPr>
          <w:rFonts w:hint="eastAsia" w:ascii="方正仿宋简体" w:eastAsia="方正仿宋简体"/>
          <w:color w:val="333333"/>
          <w:sz w:val="26"/>
          <w:szCs w:val="26"/>
        </w:rPr>
        <w:t>部长 刘昆</w:t>
      </w:r>
      <w:r>
        <w:rPr>
          <w:rFonts w:hint="eastAsia" w:ascii="方正仿宋简体" w:eastAsia="方正仿宋简体"/>
          <w:color w:val="333333"/>
          <w:sz w:val="26"/>
          <w:szCs w:val="26"/>
        </w:rPr>
        <w:br w:type="textWrapping"/>
      </w:r>
      <w:r>
        <w:rPr>
          <w:rFonts w:hint="eastAsia" w:ascii="方正仿宋简体" w:eastAsia="方正仿宋简体"/>
          <w:color w:val="333333"/>
          <w:sz w:val="26"/>
          <w:szCs w:val="26"/>
        </w:rPr>
        <w:t>2019年3月29日</w:t>
      </w:r>
    </w:p>
    <w:p>
      <w:pPr>
        <w:pStyle w:val="12"/>
        <w:shd w:val="clear" w:color="auto" w:fill="FFFFFF"/>
        <w:spacing w:before="0" w:beforeAutospacing="0" w:after="0" w:afterAutospacing="0" w:line="400" w:lineRule="exact"/>
        <w:jc w:val="center"/>
        <w:rPr>
          <w:rFonts w:ascii="方正仿宋简体" w:eastAsia="方正仿宋简体"/>
          <w:b/>
          <w:bCs/>
          <w:color w:val="333333"/>
          <w:sz w:val="26"/>
          <w:szCs w:val="26"/>
        </w:r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财政部关于修改《事业单位国有资产管理暂行办法》</w:t>
      </w: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的决定</w:t>
      </w:r>
    </w:p>
    <w:p>
      <w:pPr>
        <w:pStyle w:val="12"/>
        <w:shd w:val="clear" w:color="auto" w:fill="FFFFFF"/>
        <w:spacing w:before="0" w:beforeAutospacing="0" w:after="0" w:afterAutospacing="0" w:line="400" w:lineRule="exact"/>
        <w:rPr>
          <w:rFonts w:ascii="方正仿宋简体" w:eastAsia="方正仿宋简体"/>
          <w:color w:val="333333"/>
          <w:sz w:val="26"/>
          <w:szCs w:val="26"/>
        </w:rPr>
      </w:pPr>
      <w:r>
        <w:rPr>
          <w:rFonts w:hint="eastAsia" w:ascii="方正仿宋简体" w:eastAsia="方正仿宋简体"/>
          <w:color w:val="333333"/>
          <w:sz w:val="26"/>
          <w:szCs w:val="26"/>
        </w:rPr>
        <w:t>财政部部务会议决定，对《事业单位国有资产管理暂行办法》作出修改：</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一、将第二十一条第一款修改为：“事业单位利用国有资产对外投资、出租、出借和担保等应当进行必要的可行性论证，并提出申请，经主管部门审核同意后，报同级财政部门审批。法律、行政法规和本办法第五十六条另有规定的，依照其规定。”</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二、将第二十三条修改为：“除本办法第五十六条及国家另有规定外，事业单位对外投资收益以及利用国有资产出租、出借和担保等取得的收入应当纳入单位预算，统一核算，统一管理。”</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三、将第二十五条修改为：“除本办法第五十六条另有规定外，事业单位处置国有资产，应当严格履行审批手续，未经批准不得自行处置。”</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四、将第二十六条修改为：“事业单位占有、使用的房屋建筑物、土地和车辆的处置，货币性资产损失的核销，以及单位价值或者批量价值在规定限额以上的资产的处置，经主管部门审核后报同级财政部门审批；规定限额以下的资产的处置报主管部门审批，主管部门将审批结果定期报同级财政部门备案。法律、行政法规和本办法第五十六条另有规定的，依照其规定。”</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五、将第二十九条修改为：“除本办法第五十六条另有规定外，事业单位国有资产处置收入属于国家所有，应当按照政府非税收入管理的规定，实行‘收支两条线’管理。”</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六、将第三十九条第三项修改为第四项，增加一项作为第三项：“（三）国家设立的研究开发机构、高等院校将其持有的科技成果转让、许可或者作价投资给国有全资企业的；”。</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七、增加一条，作为第四十条：“国家设立的研究开发机构、高等院校将其持有的科技成果转让、许可或者作价投资给非国有全资企业的，由单位自主决定是否进行资产评估。”</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八、将第五十一条修改为第五十二条，第四项修改为第五项，增加一项作为第四项：“（四）通过串通作弊、暗箱操作等低价处置国有资产的；”。</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九、将第五十二条修改为第五十三条，将本条中的“《中华人民共和国行政监察法》”修改为“《中华人民共和国监察法》”。</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十、增加一条，作为第五十六条：“国家设立的研究开发机构、高等院校对其持有的科技成果，可以自主决定转让、许可或者作价投资，不需报主管部门、财政部门审批或者备案，并通过协议定价、在技术交易市场挂牌交易、拍卖等方式确定价格。通过协议定价的，应当在本单位公示科技成果名称和拟交易价格。</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“国家设立的研究开发机构、高等院校转化科技成果所获得的收入全部留归本单位。”</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本决定自公布之日起施行。</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《事业单位国有资产管理暂行办法》根据本决定作相应修改，重新公布。</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事业单位国有资产管理暂行办法</w:t>
      </w:r>
    </w:p>
    <w:p>
      <w:pPr>
        <w:spacing w:line="400" w:lineRule="exact"/>
        <w:ind w:left="28"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color w:val="303030"/>
          <w:sz w:val="26"/>
          <w:szCs w:val="26"/>
        </w:rPr>
        <w:t>（2006</w:t>
      </w:r>
      <w:r>
        <w:rPr>
          <w:rFonts w:hint="eastAsia" w:ascii="方正仿宋简体" w:hAnsi="方正仿宋简体" w:eastAsia="方正仿宋简体" w:cs="方正仿宋简体"/>
          <w:color w:val="303030"/>
          <w:spacing w:val="-40"/>
          <w:sz w:val="26"/>
          <w:szCs w:val="26"/>
        </w:rPr>
        <w:t>年</w:t>
      </w:r>
      <w:r>
        <w:rPr>
          <w:rFonts w:hint="eastAsia" w:ascii="方正仿宋简体" w:hAnsi="方正仿宋简体" w:eastAsia="方正仿宋简体" w:cs="方正仿宋简体"/>
          <w:color w:val="303030"/>
          <w:sz w:val="26"/>
          <w:szCs w:val="26"/>
        </w:rPr>
        <w:t>5</w:t>
      </w:r>
      <w:r>
        <w:rPr>
          <w:rFonts w:hint="eastAsia" w:ascii="方正仿宋简体" w:hAnsi="方正仿宋简体" w:eastAsia="方正仿宋简体" w:cs="方正仿宋简体"/>
          <w:color w:val="303030"/>
          <w:spacing w:val="-39"/>
          <w:sz w:val="26"/>
          <w:szCs w:val="26"/>
        </w:rPr>
        <w:t>月</w:t>
      </w:r>
      <w:r>
        <w:rPr>
          <w:rFonts w:hint="eastAsia" w:ascii="方正仿宋简体" w:hAnsi="方正仿宋简体" w:eastAsia="方正仿宋简体" w:cs="方正仿宋简体"/>
          <w:color w:val="303030"/>
          <w:sz w:val="26"/>
          <w:szCs w:val="26"/>
        </w:rPr>
        <w:t>30</w:t>
      </w:r>
      <w:r>
        <w:rPr>
          <w:rFonts w:hint="eastAsia" w:ascii="方正仿宋简体" w:hAnsi="方正仿宋简体" w:eastAsia="方正仿宋简体" w:cs="方正仿宋简体"/>
          <w:color w:val="303030"/>
          <w:spacing w:val="-16"/>
          <w:sz w:val="26"/>
          <w:szCs w:val="26"/>
        </w:rPr>
        <w:t>日财政部令第</w:t>
      </w:r>
      <w:r>
        <w:rPr>
          <w:rFonts w:hint="eastAsia" w:ascii="方正仿宋简体" w:hAnsi="方正仿宋简体" w:eastAsia="方正仿宋简体" w:cs="方正仿宋简体"/>
          <w:color w:val="303030"/>
          <w:sz w:val="26"/>
          <w:szCs w:val="26"/>
        </w:rPr>
        <w:t>36</w:t>
      </w:r>
      <w:r>
        <w:rPr>
          <w:rFonts w:hint="eastAsia" w:ascii="方正仿宋简体" w:hAnsi="方正仿宋简体" w:eastAsia="方正仿宋简体" w:cs="方正仿宋简体"/>
          <w:color w:val="303030"/>
          <w:spacing w:val="-14"/>
          <w:sz w:val="26"/>
          <w:szCs w:val="26"/>
        </w:rPr>
        <w:t>号公布根据</w:t>
      </w:r>
      <w:r>
        <w:rPr>
          <w:rFonts w:hint="eastAsia" w:ascii="方正仿宋简体" w:hAnsi="方正仿宋简体" w:eastAsia="方正仿宋简体" w:cs="方正仿宋简体"/>
          <w:color w:val="303030"/>
          <w:sz w:val="26"/>
          <w:szCs w:val="26"/>
        </w:rPr>
        <w:t>2017</w:t>
      </w:r>
      <w:r>
        <w:rPr>
          <w:rFonts w:hint="eastAsia" w:ascii="方正仿宋简体" w:hAnsi="方正仿宋简体" w:eastAsia="方正仿宋简体" w:cs="方正仿宋简体"/>
          <w:color w:val="303030"/>
          <w:spacing w:val="-39"/>
          <w:sz w:val="26"/>
          <w:szCs w:val="26"/>
        </w:rPr>
        <w:t>年</w:t>
      </w:r>
      <w:r>
        <w:rPr>
          <w:rFonts w:hint="eastAsia" w:ascii="方正仿宋简体" w:hAnsi="方正仿宋简体" w:eastAsia="方正仿宋简体" w:cs="方正仿宋简体"/>
          <w:color w:val="303030"/>
          <w:sz w:val="26"/>
          <w:szCs w:val="26"/>
        </w:rPr>
        <w:t>12</w:t>
      </w:r>
      <w:r>
        <w:rPr>
          <w:rFonts w:hint="eastAsia" w:ascii="方正仿宋简体" w:hAnsi="方正仿宋简体" w:eastAsia="方正仿宋简体" w:cs="方正仿宋简体"/>
          <w:color w:val="303030"/>
          <w:spacing w:val="-14"/>
          <w:sz w:val="26"/>
          <w:szCs w:val="26"/>
        </w:rPr>
        <w:t>月4日财政部令第90号《财政部关于修改〈注册会计师注册办法〉等6部规章的决定》第一次修改根据2019年3月29日《财政部关于修改&lt;事业单位国有资产管理暂行办法&gt;的决定》第二次修改</w:t>
      </w:r>
      <w:r>
        <w:rPr>
          <w:rFonts w:hint="eastAsia" w:ascii="方正仿宋简体" w:hAnsi="方正仿宋简体" w:eastAsia="方正仿宋简体" w:cs="方正仿宋简体"/>
          <w:color w:val="303030"/>
          <w:sz w:val="26"/>
          <w:szCs w:val="26"/>
        </w:rPr>
        <w:t>）</w:t>
      </w:r>
    </w:p>
    <w:p>
      <w:pPr>
        <w:pStyle w:val="6"/>
        <w:spacing w:line="400" w:lineRule="exact"/>
        <w:ind w:left="743"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r>
        <w:rPr>
          <w:rFonts w:hint="eastAsia" w:ascii="楷体" w:hAnsi="楷体" w:eastAsia="楷体" w:cs="楷体"/>
          <w:color w:val="303030"/>
          <w:sz w:val="26"/>
          <w:szCs w:val="26"/>
        </w:rPr>
        <w:t>第一条</w:t>
      </w:r>
      <w:r>
        <w:rPr>
          <w:rFonts w:hint="eastAsia"/>
          <w:color w:val="303030"/>
          <w:sz w:val="26"/>
          <w:szCs w:val="26"/>
        </w:rPr>
        <w:t xml:space="preserve"> 为了规范和加强事业单位国有资产管理，维护国有资产的安全完整，合理配置和有效利用国有资产，保障和促进</w:t>
      </w:r>
      <w:r>
        <w:rPr>
          <w:sz w:val="26"/>
          <w:szCs w:val="26"/>
        </w:rPr>
        <w:pict>
          <v:shape id="_x0000_s1026" o:spid="_x0000_s1026" o:spt="100" style="position:absolute;left:0pt;margin-left:92.75pt;margin-top:24.65pt;height:544.1pt;width:418.2pt;mso-position-horizontal-relative:page;z-index:-251656192;mso-width-relative:page;mso-height-relative:page;" stroked="f" coordsize="8364,10882" o:gfxdata="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t5+lI2gAAAAwBAAAPAAAAAAAAAAEAIAAAACIA&#10;AABkcnMvZG93bnJldi54bWxQSwECFAAUAAAACACHTuJAsMy+5SQDAACyCwAADgAAAAAAAAABACAA&#10;AAApAQAAZHJzL2Uyb0RvYy54bWxQSwUGAAAAAAYABgBZAQAAvwYAAAAA&#10;" adj=",," path="m8364,10080l0,10080,0,10881,8364,10881,8364,10080m8364,7841l0,7841,0,8400,0,8961,0,9521,0,10080,8364,10080,8364,9521,8364,8961,8364,8400,8364,7841m8364,6161l0,6161,0,6720,0,7281,0,7841,8364,7841,8364,7281,8364,6720,8364,6161m8364,0l0,0,0,561,0,1121,0,1680,0,2241,0,2801,0,3360,0,3921,0,4481,0,5040,0,5601,0,6161,8364,6161,8364,5601,8364,5040,8364,4481,8364,3921,8364,3360,8364,2801,8364,2241,8364,1680,8364,1121,8364,561,8364,0e">
            <v:path o:connecttype="segments"/>
            <v:fill focussize="0,0"/>
            <v:stroke on="f" joinstyle="round"/>
            <v:imagedata o:title=""/>
            <o:lock v:ext="edit"/>
          </v:shape>
        </w:pict>
      </w:r>
      <w:r>
        <w:rPr>
          <w:rFonts w:hint="eastAsia"/>
          <w:color w:val="303030"/>
          <w:spacing w:val="7"/>
          <w:sz w:val="26"/>
          <w:szCs w:val="26"/>
        </w:rPr>
        <w:t>各项事业发展，建立适应社会主义市场经济和公共财政要求的事业单位国有资产管理体制，根据国务院有关规定，制定本办</w:t>
      </w:r>
      <w:r>
        <w:rPr>
          <w:rFonts w:hint="eastAsia"/>
          <w:color w:val="303030"/>
          <w:sz w:val="26"/>
          <w:szCs w:val="26"/>
        </w:rPr>
        <w:t>法。</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第二条</w:t>
      </w:r>
      <w:r>
        <w:rPr>
          <w:rFonts w:hint="eastAsia"/>
          <w:color w:val="303030"/>
          <w:sz w:val="26"/>
          <w:szCs w:val="26"/>
        </w:rPr>
        <w:t xml:space="preserve"> 本办法适用于各级各类事业单位的国有资产管理活动。</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第三条</w:t>
      </w:r>
      <w:r>
        <w:rPr>
          <w:rFonts w:hint="eastAsia"/>
          <w:color w:val="303030"/>
          <w:sz w:val="26"/>
          <w:szCs w:val="26"/>
        </w:rPr>
        <w:t xml:space="preserve"> 本办法所称的事业单位国有资产，是指事业单位占有、使用的，依法确认为国家所有，能以货币计量的各种经济资源的总称，即事业单位的国有（公共）财产。</w:t>
      </w:r>
    </w:p>
    <w:p>
      <w:pPr>
        <w:pStyle w:val="6"/>
        <w:spacing w:line="400" w:lineRule="exact"/>
        <w:ind w:left="140" w:right="405" w:firstLine="520" w:firstLineChars="200"/>
        <w:jc w:val="left"/>
        <w:rPr>
          <w:sz w:val="26"/>
          <w:szCs w:val="26"/>
        </w:rPr>
      </w:pPr>
      <w:r>
        <w:rPr>
          <w:rFonts w:hint="eastAsia"/>
          <w:color w:val="303030"/>
          <w:sz w:val="26"/>
          <w:szCs w:val="26"/>
        </w:rPr>
        <w:t>事业单位国有资产包括国家拨给事业单位的资产，事业单位按照国家规定运用国有资产组织收入形成的资产，以及接受捐赠和其他经法律确认为国家所有的资产，其表现形式为流动资产、固定资产、无形资产和对外投资等。</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第四条</w:t>
      </w:r>
      <w:r>
        <w:rPr>
          <w:rFonts w:hint="eastAsia"/>
          <w:color w:val="303030"/>
          <w:sz w:val="26"/>
          <w:szCs w:val="26"/>
        </w:rPr>
        <w:t xml:space="preserve"> 事业单位国有资产管理活动，应当坚持资产管理与预算管理相结合的原则，推行实物费用定额制度，促进事业资产整合与共享共用，实现资产管理和预算管理的紧密统一；应当坚持所有权和使用权相分离的原则；应当坚持资产管理与财务管理、实物管理与价值管理相结合的原则。</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第五条</w:t>
      </w:r>
      <w:r>
        <w:rPr>
          <w:rFonts w:hint="eastAsia"/>
          <w:color w:val="303030"/>
          <w:sz w:val="26"/>
          <w:szCs w:val="26"/>
        </w:rPr>
        <w:t xml:space="preserve"> 事业单位国有资产实行国家统一所有，政府分级监管，单位占有、使用的管理体制。</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管理机构及其职责</w:t>
      </w:r>
    </w:p>
    <w:p>
      <w:pPr>
        <w:spacing w:line="400" w:lineRule="exact"/>
        <w:ind w:left="28" w:right="23" w:firstLine="520" w:firstLineChars="200"/>
        <w:jc w:val="left"/>
        <w:rPr>
          <w:rFonts w:ascii="方正仿宋简体" w:hAnsi="方正仿宋简体" w:eastAsia="方正仿宋简体" w:cs="方正仿宋简体"/>
          <w:color w:val="303030"/>
          <w:sz w:val="26"/>
          <w:szCs w:val="26"/>
        </w:rPr>
      </w:pPr>
      <w:r>
        <w:rPr>
          <w:rFonts w:ascii="楷体" w:hAnsi="楷体" w:eastAsia="楷体" w:cs="楷体"/>
          <w:sz w:val="26"/>
          <w:szCs w:val="26"/>
        </w:rPr>
        <w:pict>
          <v:shape id="_x0000_s1043" o:spid="_x0000_s1043" o:spt="100" style="position:absolute;left:0pt;margin-left:8.3pt;margin-top:40.2pt;height:588pt;width:418.2pt;mso-position-horizontal-relative:page;z-index:-251655168;mso-width-relative:page;mso-height-relative:page;" stroked="f" coordsize="8364,11760" o:gfxdata="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W7DYU9gAAAAKAQAADwAA&#10;AAAAAAABACAAAAAiAAAAZHJzL2Rvd25yZXYueG1sUEsBAhQAFAAAAAgAh07iQI2lsiAzAwAAWAwA&#10;AA4AAAAAAAAAAQAgAAAAJwEAAGRycy9lMm9Eb2MueG1sUEsFBgAAAAAGAAYAWQEAAMwGAAAAAA==&#10;" adj=",," path="m8364,10080l0,10080,0,10641,0,11201,0,11760,8364,11760,8364,11201,8364,10641,8364,10080m8364,7841l0,7841,0,8400,0,8961,0,9521,0,10080,8364,10080,8364,9521,8364,8961,8364,8400,8364,7841m8364,6161l0,6161,0,6720,0,7281,0,7841,8364,7841,8364,7281,8364,6720,8364,6161m8364,0l0,0,0,561,0,1121,0,1680,0,2241,0,2801,0,3360,0,3921,0,4481,0,5040,0,5601,0,6161,8364,6161,8364,5601,8364,5040,8364,4481,8364,3921,8364,3360,8364,2801,8364,2241,8364,1680,8364,1121,8364,561,8364,0e">
            <v:path o:connecttype="segments"/>
            <v:fill focussize="0,0"/>
            <v:stroke on="f" joinstyle="round"/>
            <v:imagedata o:title=""/>
            <o:lock v:ext="edit"/>
          </v:shape>
        </w:pict>
      </w:r>
      <w:r>
        <w:rPr>
          <w:rFonts w:hint="eastAsia" w:ascii="楷体" w:hAnsi="楷体" w:eastAsia="楷体" w:cs="楷体"/>
          <w:color w:val="303030"/>
          <w:sz w:val="26"/>
          <w:szCs w:val="26"/>
        </w:rPr>
        <w:t>第六条</w:t>
      </w:r>
      <w:r>
        <w:rPr>
          <w:rFonts w:hint="eastAsia" w:ascii="方正仿宋简体" w:hAnsi="方正仿宋简体" w:eastAsia="方正仿宋简体" w:cs="方正仿宋简体"/>
          <w:color w:val="303030"/>
          <w:sz w:val="26"/>
          <w:szCs w:val="26"/>
        </w:rPr>
        <w:t xml:space="preserve"> 各级财政部门是政府负责事业单位国有资产管理的职能部门，对事业单位的国有资产实施综合管理。其主要职责是：</w:t>
      </w:r>
    </w:p>
    <w:p>
      <w:pPr>
        <w:pStyle w:val="6"/>
        <w:spacing w:line="400" w:lineRule="exact"/>
        <w:ind w:left="140" w:right="120" w:firstLine="520" w:firstLineChars="200"/>
        <w:jc w:val="left"/>
        <w:rPr>
          <w:color w:val="303030"/>
          <w:sz w:val="26"/>
          <w:szCs w:val="26"/>
        </w:rPr>
      </w:pPr>
      <w:r>
        <w:rPr>
          <w:rFonts w:hint="eastAsia"/>
          <w:color w:val="303030"/>
          <w:sz w:val="26"/>
          <w:szCs w:val="26"/>
        </w:rPr>
        <w:t>（一）根据国家有关国有资产管理的规定，制定事业单位国有资产管理的规章制度，并组织实施和监督检查；</w:t>
      </w:r>
    </w:p>
    <w:p>
      <w:pPr>
        <w:pStyle w:val="6"/>
        <w:spacing w:line="400" w:lineRule="exact"/>
        <w:ind w:left="140" w:right="120" w:firstLine="520" w:firstLineChars="200"/>
        <w:jc w:val="left"/>
        <w:rPr>
          <w:sz w:val="26"/>
          <w:szCs w:val="26"/>
        </w:rPr>
      </w:pPr>
      <w:r>
        <w:rPr>
          <w:rFonts w:hint="eastAsia"/>
          <w:color w:val="303030"/>
          <w:sz w:val="26"/>
          <w:szCs w:val="26"/>
        </w:rPr>
        <w:t>（二）研究制定本级事业单位实物资产配置标准和相关的费用标准，组织本级事业单位国有资产的产权登记、产权界定、产权纠纷调处、资产评估监管、资产清查和统计报告等基础管 理工作；</w:t>
      </w:r>
    </w:p>
    <w:p>
      <w:pPr>
        <w:pStyle w:val="6"/>
        <w:spacing w:line="400" w:lineRule="exact"/>
        <w:ind w:left="140" w:right="405" w:firstLine="520" w:firstLineChars="200"/>
        <w:jc w:val="left"/>
        <w:rPr>
          <w:sz w:val="26"/>
          <w:szCs w:val="26"/>
        </w:rPr>
      </w:pPr>
      <w:r>
        <w:rPr>
          <w:rFonts w:hint="eastAsia"/>
          <w:color w:val="303030"/>
          <w:sz w:val="26"/>
          <w:szCs w:val="26"/>
        </w:rPr>
        <w:t>（三）按规定权限审批本级事业单位有关资产购置、处置和利用国有资产对外投资、出租、出借和担保等事项，组织事业单位长期闲置、低效运转和超标准配置资产的调剂工作，建立事业单位国有资产整合、共享、共用机制；</w:t>
      </w:r>
    </w:p>
    <w:p>
      <w:pPr>
        <w:pStyle w:val="6"/>
        <w:spacing w:line="400" w:lineRule="exact"/>
        <w:ind w:left="140" w:right="113" w:firstLine="520" w:firstLineChars="200"/>
        <w:jc w:val="left"/>
        <w:rPr>
          <w:sz w:val="26"/>
          <w:szCs w:val="26"/>
        </w:rPr>
      </w:pPr>
      <w:r>
        <w:rPr>
          <w:rFonts w:hint="eastAsia"/>
          <w:color w:val="303030"/>
          <w:sz w:val="26"/>
          <w:szCs w:val="26"/>
        </w:rPr>
        <w:t>（四）推进本级有条件的事业单位实现国有资产的市场化、社会化，加强事业单位转企改制工作中国有资产的监督管理；</w:t>
      </w:r>
    </w:p>
    <w:p>
      <w:pPr>
        <w:pStyle w:val="6"/>
        <w:spacing w:line="400" w:lineRule="exact"/>
        <w:ind w:left="140" w:right="120" w:firstLine="520" w:firstLineChars="200"/>
        <w:jc w:val="left"/>
        <w:rPr>
          <w:color w:val="303030"/>
          <w:sz w:val="26"/>
          <w:szCs w:val="26"/>
        </w:rPr>
      </w:pPr>
      <w:r>
        <w:rPr>
          <w:rFonts w:hint="eastAsia"/>
          <w:color w:val="303030"/>
          <w:sz w:val="26"/>
          <w:szCs w:val="26"/>
        </w:rPr>
        <w:t>（五）负责本级事业单位国有资产收益的监督管理；</w:t>
      </w:r>
    </w:p>
    <w:p>
      <w:pPr>
        <w:pStyle w:val="6"/>
        <w:spacing w:line="400" w:lineRule="exact"/>
        <w:ind w:left="140" w:right="120" w:firstLine="520" w:firstLineChars="200"/>
        <w:jc w:val="left"/>
        <w:rPr>
          <w:color w:val="303030"/>
          <w:sz w:val="26"/>
          <w:szCs w:val="26"/>
        </w:rPr>
      </w:pPr>
      <w:r>
        <w:rPr>
          <w:rFonts w:hint="eastAsia"/>
          <w:color w:val="303030"/>
          <w:sz w:val="26"/>
          <w:szCs w:val="26"/>
        </w:rPr>
        <w:t>（六）建立和完善事业单位国有资产管理信息系统，对事业单位国有资产实行动态管理；</w:t>
      </w:r>
    </w:p>
    <w:p>
      <w:pPr>
        <w:pStyle w:val="6"/>
        <w:spacing w:line="400" w:lineRule="exact"/>
        <w:ind w:left="140" w:right="120" w:firstLine="520" w:firstLineChars="200"/>
        <w:jc w:val="left"/>
        <w:rPr>
          <w:color w:val="303030"/>
          <w:sz w:val="26"/>
          <w:szCs w:val="26"/>
        </w:rPr>
      </w:pPr>
      <w:r>
        <w:rPr>
          <w:rFonts w:hint="eastAsia"/>
          <w:color w:val="303030"/>
          <w:sz w:val="26"/>
          <w:szCs w:val="26"/>
        </w:rPr>
        <w:t>（七）研究建立事业单位国有资产安全性、完整性和使用有效性的评价方法、评价标准和评价机制，对事业单位国有资产实行绩效管理；</w:t>
      </w:r>
    </w:p>
    <w:p>
      <w:pPr>
        <w:pStyle w:val="6"/>
        <w:spacing w:line="400" w:lineRule="exact"/>
        <w:ind w:left="140" w:right="120" w:firstLine="520" w:firstLineChars="200"/>
        <w:jc w:val="left"/>
        <w:rPr>
          <w:color w:val="303030"/>
          <w:sz w:val="26"/>
          <w:szCs w:val="26"/>
        </w:rPr>
      </w:pPr>
      <w:r>
        <w:rPr>
          <w:rFonts w:hint="eastAsia"/>
          <w:color w:val="303030"/>
          <w:sz w:val="26"/>
          <w:szCs w:val="26"/>
        </w:rPr>
        <w:t>（八）监督、指导本级事业单位及其主管部门、下级财政部门的国有资产管理工作。</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第七条</w:t>
      </w:r>
      <w:r>
        <w:rPr>
          <w:rFonts w:hint="eastAsia"/>
          <w:color w:val="303030"/>
          <w:sz w:val="26"/>
          <w:szCs w:val="26"/>
        </w:rPr>
        <w:t xml:space="preserve"> 事业单位的主管部门（以下简称主管部门）负责对本部门所属事业单位的国有资产实施监督管理。其主要职责是：</w:t>
      </w:r>
    </w:p>
    <w:p>
      <w:pPr>
        <w:pStyle w:val="6"/>
        <w:spacing w:line="400" w:lineRule="exact"/>
        <w:ind w:left="140" w:right="120" w:firstLine="520" w:firstLineChars="200"/>
        <w:jc w:val="left"/>
        <w:rPr>
          <w:color w:val="303030"/>
          <w:sz w:val="26"/>
          <w:szCs w:val="26"/>
        </w:rPr>
      </w:pPr>
      <w:r>
        <w:rPr>
          <w:rFonts w:hint="eastAsia"/>
          <w:color w:val="303030"/>
          <w:sz w:val="26"/>
          <w:szCs w:val="26"/>
        </w:rPr>
        <w:t>（一）根据本级和上级财政部门有关国有资产管理的规定，制定本部门事业单位国有资产管理的实施办法，并组织实施和监督检查；</w:t>
      </w:r>
    </w:p>
    <w:p>
      <w:pPr>
        <w:pStyle w:val="6"/>
        <w:spacing w:line="400" w:lineRule="exact"/>
        <w:ind w:left="140" w:right="120" w:firstLine="520" w:firstLineChars="200"/>
        <w:jc w:val="left"/>
        <w:rPr>
          <w:color w:val="303030"/>
          <w:sz w:val="26"/>
          <w:szCs w:val="26"/>
        </w:rPr>
      </w:pPr>
      <w:r>
        <w:rPr>
          <w:rFonts w:hint="eastAsia"/>
          <w:color w:val="303030"/>
          <w:sz w:val="26"/>
          <w:szCs w:val="26"/>
        </w:rPr>
        <w:t>（二）组织本部门事业单位国有资产的清查、登记、统计汇总及日常监督检查工作；</w:t>
      </w:r>
    </w:p>
    <w:p>
      <w:pPr>
        <w:pStyle w:val="6"/>
        <w:spacing w:line="400" w:lineRule="exact"/>
        <w:ind w:left="140" w:right="120" w:firstLine="520" w:firstLineChars="200"/>
        <w:jc w:val="left"/>
        <w:rPr>
          <w:color w:val="303030"/>
          <w:sz w:val="26"/>
          <w:szCs w:val="26"/>
        </w:rPr>
      </w:pPr>
      <w:r>
        <w:rPr>
          <w:rFonts w:hint="eastAsia"/>
          <w:color w:val="303030"/>
          <w:sz w:val="26"/>
          <w:szCs w:val="26"/>
        </w:rPr>
        <w:t>（三）审核本部门所属事业单位利用国有资产对外投资、出租、出借和担保等事项，按规定权限审核或者审批有关资产购置、处置事项；</w:t>
      </w:r>
    </w:p>
    <w:p>
      <w:pPr>
        <w:pStyle w:val="6"/>
        <w:spacing w:line="400" w:lineRule="exact"/>
        <w:ind w:left="140" w:right="120" w:firstLine="520" w:firstLineChars="200"/>
        <w:jc w:val="left"/>
        <w:rPr>
          <w:color w:val="303030"/>
          <w:sz w:val="26"/>
          <w:szCs w:val="26"/>
        </w:rPr>
      </w:pPr>
      <w:r>
        <w:rPr>
          <w:rFonts w:hint="eastAsia"/>
          <w:color w:val="303030"/>
          <w:sz w:val="26"/>
          <w:szCs w:val="26"/>
        </w:rPr>
        <w:t>（四）负责本部门所属事业单位长期闲置、低效运转和超标准配置资产的调剂工作，优化事业单位国有资产配置，推动事业单位国有资产共享、共用；</w:t>
      </w:r>
    </w:p>
    <w:p>
      <w:pPr>
        <w:pStyle w:val="6"/>
        <w:spacing w:line="400" w:lineRule="exact"/>
        <w:ind w:left="140" w:right="120" w:firstLine="520" w:firstLineChars="200"/>
        <w:jc w:val="left"/>
        <w:rPr>
          <w:color w:val="303030"/>
          <w:sz w:val="26"/>
          <w:szCs w:val="26"/>
        </w:rPr>
      </w:pPr>
      <w:r>
        <w:rPr>
          <w:rFonts w:hint="eastAsia"/>
          <w:color w:val="303030"/>
          <w:sz w:val="26"/>
          <w:szCs w:val="26"/>
        </w:rPr>
        <w:t>（五）督促本部门所属事业单位按规定缴纳国有资产收益；</w:t>
      </w:r>
    </w:p>
    <w:p>
      <w:pPr>
        <w:pStyle w:val="6"/>
        <w:spacing w:line="400" w:lineRule="exact"/>
        <w:ind w:left="140" w:right="120" w:firstLine="520" w:firstLineChars="200"/>
        <w:jc w:val="left"/>
        <w:rPr>
          <w:color w:val="303030"/>
          <w:sz w:val="26"/>
          <w:szCs w:val="26"/>
        </w:rPr>
      </w:pPr>
      <w:r>
        <w:rPr>
          <w:rFonts w:hint="eastAsia"/>
          <w:color w:val="303030"/>
          <w:sz w:val="26"/>
          <w:szCs w:val="26"/>
        </w:rPr>
        <w:t>（六）组织实施对本部门所属事业单位国有资产管理和使用情况的评价考核；</w:t>
      </w:r>
    </w:p>
    <w:p>
      <w:pPr>
        <w:pStyle w:val="6"/>
        <w:spacing w:line="400" w:lineRule="exact"/>
        <w:ind w:left="140" w:right="120" w:firstLine="520" w:firstLineChars="200"/>
        <w:jc w:val="left"/>
        <w:rPr>
          <w:color w:val="303030"/>
          <w:sz w:val="26"/>
          <w:szCs w:val="26"/>
        </w:rPr>
      </w:pPr>
      <w:r>
        <w:rPr>
          <w:rFonts w:hint="eastAsia"/>
          <w:color w:val="303030"/>
          <w:sz w:val="26"/>
          <w:szCs w:val="26"/>
        </w:rPr>
        <w:t>（七）接受同级财政部门的监督、指导并向其报告有关事业单位国有资产管理工作。</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第八条</w:t>
      </w:r>
      <w:r>
        <w:rPr>
          <w:rFonts w:hint="eastAsia"/>
          <w:color w:val="303030"/>
          <w:sz w:val="26"/>
          <w:szCs w:val="26"/>
        </w:rPr>
        <w:t xml:space="preserve"> 事业单位负责对本单位占有、使用的国有资产实施具体管理。其主要职责是：</w:t>
      </w:r>
    </w:p>
    <w:p>
      <w:pPr>
        <w:pStyle w:val="6"/>
        <w:spacing w:line="400" w:lineRule="exact"/>
        <w:ind w:left="140" w:right="120" w:firstLine="520" w:firstLineChars="200"/>
        <w:jc w:val="left"/>
        <w:rPr>
          <w:color w:val="303030"/>
          <w:sz w:val="26"/>
          <w:szCs w:val="26"/>
        </w:rPr>
      </w:pPr>
      <w:r>
        <w:rPr>
          <w:rFonts w:hint="eastAsia"/>
          <w:color w:val="303030"/>
          <w:sz w:val="26"/>
          <w:szCs w:val="26"/>
        </w:rPr>
        <w:t>（一）根据事业单位国有资产管理的有关规定，制定本单位国有资产管理的具体办法并组织实施；</w:t>
      </w:r>
    </w:p>
    <w:p>
      <w:pPr>
        <w:pStyle w:val="6"/>
        <w:spacing w:line="400" w:lineRule="exact"/>
        <w:ind w:left="140" w:right="120" w:firstLine="520" w:firstLineChars="200"/>
        <w:jc w:val="left"/>
        <w:rPr>
          <w:color w:val="303030"/>
          <w:sz w:val="26"/>
          <w:szCs w:val="26"/>
        </w:rPr>
      </w:pPr>
      <w:r>
        <w:rPr>
          <w:rFonts w:hint="eastAsia"/>
          <w:color w:val="303030"/>
          <w:sz w:val="26"/>
          <w:szCs w:val="26"/>
        </w:rPr>
        <w:t>（二）负责本单位资产购置、验收入库、维护保管等日常管理，负责本单位资产的账卡管理、清查登记、统计报告及日常监督检查工作；</w:t>
      </w:r>
    </w:p>
    <w:p>
      <w:pPr>
        <w:pStyle w:val="6"/>
        <w:spacing w:line="400" w:lineRule="exact"/>
        <w:ind w:left="140" w:right="120" w:firstLine="520" w:firstLineChars="200"/>
        <w:jc w:val="left"/>
        <w:rPr>
          <w:color w:val="303030"/>
          <w:sz w:val="26"/>
          <w:szCs w:val="26"/>
        </w:rPr>
      </w:pPr>
      <w:r>
        <w:rPr>
          <w:rFonts w:hint="eastAsia"/>
          <w:color w:val="303030"/>
          <w:sz w:val="26"/>
          <w:szCs w:val="26"/>
        </w:rPr>
        <w:t>（三）办理本单位国有资产配置、处置和对外投资、出租、出借和担保等事项的报批手续；</w:t>
      </w:r>
    </w:p>
    <w:p>
      <w:pPr>
        <w:pStyle w:val="6"/>
        <w:spacing w:line="400" w:lineRule="exact"/>
        <w:ind w:left="140" w:right="120" w:firstLine="520" w:firstLineChars="200"/>
        <w:jc w:val="left"/>
        <w:rPr>
          <w:color w:val="303030"/>
          <w:sz w:val="26"/>
          <w:szCs w:val="26"/>
        </w:rPr>
      </w:pPr>
      <w:r>
        <w:rPr>
          <w:rFonts w:hint="eastAsia"/>
          <w:color w:val="303030"/>
          <w:sz w:val="26"/>
          <w:szCs w:val="26"/>
        </w:rPr>
        <w:t>（四）负责本单位用于对外投资、出租、出借和担保的资产的保值增值，按照规定及时、足额缴纳国有资产收益；</w:t>
      </w:r>
    </w:p>
    <w:p>
      <w:pPr>
        <w:pStyle w:val="6"/>
        <w:spacing w:line="400" w:lineRule="exact"/>
        <w:ind w:left="140" w:right="120" w:firstLine="520" w:firstLineChars="200"/>
        <w:jc w:val="left"/>
        <w:rPr>
          <w:color w:val="303030"/>
          <w:sz w:val="26"/>
          <w:szCs w:val="26"/>
        </w:rPr>
      </w:pPr>
      <w:r>
        <w:rPr>
          <w:rFonts w:hint="eastAsia"/>
          <w:color w:val="303030"/>
          <w:sz w:val="26"/>
          <w:szCs w:val="26"/>
        </w:rPr>
        <w:t>（五）负责本单位存量资产的有效利用，参与大型仪器、设备等资产的共享、共用和公共研究平台建设工作；</w:t>
      </w:r>
    </w:p>
    <w:p>
      <w:pPr>
        <w:pStyle w:val="6"/>
        <w:spacing w:line="400" w:lineRule="exact"/>
        <w:ind w:left="140" w:right="120" w:firstLine="520" w:firstLineChars="200"/>
        <w:jc w:val="left"/>
        <w:rPr>
          <w:color w:val="303030"/>
          <w:sz w:val="26"/>
          <w:szCs w:val="26"/>
        </w:rPr>
      </w:pPr>
      <w:r>
        <w:rPr>
          <w:rFonts w:hint="eastAsia"/>
          <w:color w:val="303030"/>
          <w:sz w:val="26"/>
          <w:szCs w:val="26"/>
        </w:rPr>
        <w:t>（六）接受主管部门和同级财政部门的监督、指导并向其报告有关国有资产管理工作。</w:t>
      </w:r>
    </w:p>
    <w:p>
      <w:pPr>
        <w:pStyle w:val="6"/>
        <w:spacing w:line="400" w:lineRule="exact"/>
        <w:ind w:left="140" w:right="413" w:firstLine="520" w:firstLineChars="200"/>
        <w:jc w:val="left"/>
        <w:rPr>
          <w:color w:val="303030"/>
          <w:sz w:val="26"/>
          <w:szCs w:val="26"/>
        </w:rPr>
      </w:pPr>
      <w:r>
        <w:rPr>
          <w:rFonts w:hint="eastAsia" w:ascii="楷体" w:hAnsi="楷体" w:eastAsia="楷体" w:cs="楷体"/>
          <w:color w:val="303030"/>
          <w:sz w:val="26"/>
          <w:szCs w:val="26"/>
        </w:rPr>
        <w:t>第九条</w:t>
      </w:r>
      <w:r>
        <w:rPr>
          <w:rFonts w:hint="eastAsia"/>
          <w:color w:val="303030"/>
          <w:sz w:val="26"/>
          <w:szCs w:val="26"/>
        </w:rPr>
        <w:t xml:space="preserve"> 各级财政部门、主管部门和事业单位应当按照本办法的规定，明确管理机构和人员，做好事业单位国有资产管理工作。</w:t>
      </w:r>
    </w:p>
    <w:p>
      <w:pPr>
        <w:pStyle w:val="6"/>
        <w:spacing w:line="400" w:lineRule="exact"/>
        <w:ind w:left="140" w:right="413" w:firstLine="520" w:firstLineChars="200"/>
        <w:jc w:val="left"/>
        <w:rPr>
          <w:color w:val="303030"/>
          <w:sz w:val="26"/>
          <w:szCs w:val="26"/>
        </w:rPr>
      </w:pPr>
      <w:r>
        <w:rPr>
          <w:rFonts w:hint="eastAsia" w:ascii="楷体" w:hAnsi="楷体" w:eastAsia="楷体" w:cs="楷体"/>
          <w:color w:val="303030"/>
          <w:sz w:val="26"/>
          <w:szCs w:val="26"/>
        </w:rPr>
        <w:t>第十条</w:t>
      </w:r>
      <w:r>
        <w:rPr>
          <w:rFonts w:hint="eastAsia"/>
          <w:color w:val="303030"/>
          <w:sz w:val="26"/>
          <w:szCs w:val="26"/>
        </w:rPr>
        <w:t xml:space="preserve"> 财政部门根据工作需要，可以将国有资产管理的部分工作交由有关单位完成。</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资产配置及使用</w:t>
      </w:r>
    </w:p>
    <w:p>
      <w:pPr>
        <w:pStyle w:val="6"/>
        <w:spacing w:line="400" w:lineRule="exact"/>
        <w:ind w:firstLine="520" w:firstLineChars="200"/>
        <w:jc w:val="left"/>
        <w:rPr>
          <w:sz w:val="26"/>
          <w:szCs w:val="26"/>
        </w:rPr>
      </w:pPr>
      <w:r>
        <w:rPr>
          <w:rFonts w:hint="eastAsia" w:ascii="楷体" w:hAnsi="楷体" w:eastAsia="楷体" w:cs="楷体"/>
          <w:color w:val="303030"/>
          <w:sz w:val="26"/>
          <w:szCs w:val="26"/>
        </w:rPr>
        <w:t>第十一条</w:t>
      </w:r>
      <w:r>
        <w:rPr>
          <w:rFonts w:hint="eastAsia"/>
          <w:color w:val="303030"/>
          <w:sz w:val="26"/>
          <w:szCs w:val="26"/>
        </w:rPr>
        <w:t xml:space="preserve"> 事业单位国有资产配置是指财政部门、主管部门、</w:t>
      </w:r>
      <w:r>
        <w:rPr>
          <w:rFonts w:hint="eastAsia"/>
          <w:color w:val="303030"/>
          <w:spacing w:val="6"/>
          <w:sz w:val="26"/>
          <w:szCs w:val="26"/>
        </w:rPr>
        <w:t>事业单位等根据事业单位履行职能的需要，按照国家有关法律、</w:t>
      </w:r>
      <w:r>
        <w:rPr>
          <w:rFonts w:hint="eastAsia"/>
          <w:color w:val="303030"/>
          <w:spacing w:val="7"/>
          <w:sz w:val="26"/>
          <w:szCs w:val="26"/>
        </w:rPr>
        <w:t xml:space="preserve">法规和规章制度规定的程序，通过购置或者调剂等方式为事业 </w:t>
      </w:r>
      <w:r>
        <w:rPr>
          <w:rFonts w:hint="eastAsia"/>
          <w:color w:val="303030"/>
          <w:sz w:val="26"/>
          <w:szCs w:val="26"/>
        </w:rPr>
        <w:t>单位配备资产的行为。</w:t>
      </w:r>
    </w:p>
    <w:p>
      <w:pPr>
        <w:spacing w:line="400" w:lineRule="exact"/>
        <w:ind w:left="628" w:firstLine="520" w:firstLineChars="200"/>
        <w:jc w:val="left"/>
        <w:rPr>
          <w:rFonts w:ascii="方正仿宋简体" w:hAnsi="方正仿宋简体" w:eastAsia="方正仿宋简体" w:cs="方正仿宋简体"/>
          <w:sz w:val="26"/>
          <w:szCs w:val="26"/>
        </w:rPr>
      </w:pPr>
      <w:r>
        <w:rPr>
          <w:rFonts w:hint="eastAsia" w:ascii="楷体" w:hAnsi="楷体" w:eastAsia="楷体" w:cs="楷体"/>
          <w:color w:val="303030"/>
          <w:sz w:val="26"/>
          <w:szCs w:val="26"/>
        </w:rPr>
        <w:t>第十二条</w:t>
      </w:r>
      <w:r>
        <w:rPr>
          <w:rFonts w:hint="eastAsia" w:ascii="方正仿宋简体" w:hAnsi="方正仿宋简体" w:eastAsia="方正仿宋简体" w:cs="方正仿宋简体"/>
          <w:color w:val="303030"/>
          <w:sz w:val="26"/>
          <w:szCs w:val="26"/>
        </w:rPr>
        <w:t xml:space="preserve"> 事业单位国有资产配置应当符合以下条件：</w:t>
      </w:r>
    </w:p>
    <w:p>
      <w:pPr>
        <w:spacing w:line="400" w:lineRule="exact"/>
        <w:ind w:left="628"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color w:val="303030"/>
          <w:sz w:val="26"/>
          <w:szCs w:val="26"/>
        </w:rPr>
        <w:t>（一）现有资产无法满足事业单位履行职能的需要；</w:t>
      </w:r>
    </w:p>
    <w:p>
      <w:pPr>
        <w:spacing w:line="400" w:lineRule="exact"/>
        <w:ind w:left="628"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color w:val="303030"/>
          <w:sz w:val="26"/>
          <w:szCs w:val="26"/>
        </w:rPr>
        <w:t>（二）难以与其他单位共享、共用相关资产；</w:t>
      </w:r>
    </w:p>
    <w:p>
      <w:pPr>
        <w:spacing w:line="400" w:lineRule="exact"/>
        <w:ind w:left="28" w:right="283"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color w:val="303030"/>
          <w:sz w:val="26"/>
          <w:szCs w:val="26"/>
        </w:rPr>
        <w:t>（三）难以通过市场购买产品或者服务的方式代替资产配置，或者采取市场购买方式的成本过高。</w:t>
      </w:r>
    </w:p>
    <w:p>
      <w:pPr>
        <w:pStyle w:val="6"/>
        <w:spacing w:line="400" w:lineRule="exact"/>
        <w:ind w:left="140" w:right="115" w:firstLine="520" w:firstLineChars="200"/>
        <w:jc w:val="left"/>
        <w:rPr>
          <w:sz w:val="26"/>
          <w:szCs w:val="26"/>
        </w:rPr>
      </w:pPr>
      <w:r>
        <w:rPr>
          <w:rFonts w:hint="eastAsia" w:ascii="楷体" w:hAnsi="楷体" w:eastAsia="楷体" w:cs="楷体"/>
          <w:color w:val="303030"/>
          <w:sz w:val="26"/>
          <w:szCs w:val="26"/>
        </w:rPr>
        <w:t>第十三条</w:t>
      </w:r>
      <w:r>
        <w:rPr>
          <w:rFonts w:hint="eastAsia"/>
          <w:color w:val="303030"/>
          <w:sz w:val="26"/>
          <w:szCs w:val="26"/>
        </w:rPr>
        <w:t xml:space="preserve"> 事业单位国有资产配置应当符合规定的配置标准；没有规定配置标准的，应当从严控制，合理配置。</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第十四条</w:t>
      </w:r>
      <w:r>
        <w:rPr>
          <w:rFonts w:hint="eastAsia"/>
          <w:color w:val="303030"/>
          <w:sz w:val="26"/>
          <w:szCs w:val="26"/>
        </w:rPr>
        <w:t xml:space="preserve"> 对于事业单位长期闲置、低效运转或者超标准配置的资产，原则上由主管部门进行调剂，并报同级财政部门备案；跨部门、跨地区的资产调剂应当报同级或者共同上一级的财政部门批准。法律、行政法规另有规定的，依照其规定。</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第十五条</w:t>
      </w:r>
      <w:r>
        <w:rPr>
          <w:rFonts w:hint="eastAsia"/>
          <w:color w:val="303030"/>
          <w:sz w:val="26"/>
          <w:szCs w:val="26"/>
        </w:rPr>
        <w:t xml:space="preserve"> 事业单位向财政部门申请用财政性资金购置规定限额以上资产的（包括事业单位申请用财政性资金举办大型会议、活动需要进行的购置），除国家另有规定外，按照下列程序报批：</w:t>
      </w:r>
    </w:p>
    <w:p>
      <w:pPr>
        <w:pStyle w:val="6"/>
        <w:spacing w:line="400" w:lineRule="exact"/>
        <w:ind w:left="140" w:right="407" w:firstLine="520" w:firstLineChars="200"/>
        <w:jc w:val="left"/>
        <w:rPr>
          <w:sz w:val="26"/>
          <w:szCs w:val="26"/>
        </w:rPr>
      </w:pPr>
      <w:r>
        <w:rPr>
          <w:rFonts w:hint="eastAsia"/>
          <w:color w:val="303030"/>
          <w:sz w:val="26"/>
          <w:szCs w:val="26"/>
        </w:rPr>
        <w:t>（一）年度部门预算编制前，事业单位资产管理部门会同财务部门审核资产存量，提出下一年度拟购置资产的品目、数量，测算经费额度，报主管部门审核；</w:t>
      </w:r>
    </w:p>
    <w:p>
      <w:pPr>
        <w:pStyle w:val="6"/>
        <w:spacing w:line="400" w:lineRule="exact"/>
        <w:ind w:left="140" w:right="405" w:firstLine="520" w:firstLineChars="200"/>
        <w:jc w:val="left"/>
        <w:rPr>
          <w:sz w:val="26"/>
          <w:szCs w:val="26"/>
        </w:rPr>
      </w:pPr>
      <w:r>
        <w:rPr>
          <w:rFonts w:hint="eastAsia"/>
          <w:color w:val="303030"/>
          <w:sz w:val="26"/>
          <w:szCs w:val="26"/>
        </w:rPr>
        <w:t>（二）主管部门根据事业单位资产存量状况和有关资产配置标准，审核、汇总事业单位资产购置计划，报同级财政部门审批；</w:t>
      </w:r>
    </w:p>
    <w:p>
      <w:pPr>
        <w:pStyle w:val="6"/>
        <w:spacing w:line="400" w:lineRule="exact"/>
        <w:ind w:left="140" w:right="405" w:firstLine="520" w:firstLineChars="200"/>
        <w:jc w:val="left"/>
        <w:rPr>
          <w:sz w:val="26"/>
          <w:szCs w:val="26"/>
        </w:rPr>
      </w:pPr>
      <w:r>
        <w:rPr>
          <w:rFonts w:hint="eastAsia"/>
          <w:color w:val="303030"/>
          <w:sz w:val="26"/>
          <w:szCs w:val="26"/>
        </w:rPr>
        <w:t>（三）同级财政部门根据主管部门的审核意见，对资产购置计划进行审批；</w:t>
      </w:r>
    </w:p>
    <w:p>
      <w:pPr>
        <w:pStyle w:val="6"/>
        <w:spacing w:line="400" w:lineRule="exact"/>
        <w:ind w:left="140" w:right="405" w:firstLine="520" w:firstLineChars="200"/>
        <w:jc w:val="left"/>
        <w:rPr>
          <w:sz w:val="26"/>
          <w:szCs w:val="26"/>
        </w:rPr>
      </w:pPr>
      <w:r>
        <w:rPr>
          <w:rFonts w:hint="eastAsia"/>
          <w:color w:val="303030"/>
          <w:sz w:val="26"/>
          <w:szCs w:val="26"/>
        </w:rPr>
        <w:t>（四）经同级财政部门批准的资产购置计划，事业单位应当列入年度部门预算，并在上报年度部门预算时附送批复文件等相关材料，作为财政部门批复部门预算的依据。</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第十六条</w:t>
      </w:r>
      <w:r>
        <w:rPr>
          <w:rFonts w:hint="eastAsia"/>
          <w:color w:val="303030"/>
          <w:sz w:val="26"/>
          <w:szCs w:val="26"/>
        </w:rPr>
        <w:t xml:space="preserve"> 事业单位向主管部门或者其他部门申请项目经费的，有关部门在下达经费前，应当将所涉及的规定限额以上的资产购置事项报同级财政部门批准。</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第十七条</w:t>
      </w:r>
      <w:r>
        <w:rPr>
          <w:rFonts w:hint="eastAsia"/>
          <w:color w:val="303030"/>
          <w:sz w:val="26"/>
          <w:szCs w:val="26"/>
        </w:rPr>
        <w:t xml:space="preserve"> 事业单位用其他资金购置规定限额以上资产的，报主管部门审批；主管部门应当将审批结果定期报同级财政部门备案。</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第十八条</w:t>
      </w:r>
      <w:r>
        <w:rPr>
          <w:rFonts w:hint="eastAsia"/>
          <w:color w:val="303030"/>
          <w:sz w:val="26"/>
          <w:szCs w:val="26"/>
        </w:rPr>
        <w:t xml:space="preserve"> 事业单位购置纳入政府采购范围的资产，应当按照国家有关政府采购的规定执行。</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第十九条</w:t>
      </w:r>
      <w:r>
        <w:rPr>
          <w:rFonts w:hint="eastAsia"/>
          <w:color w:val="303030"/>
          <w:sz w:val="26"/>
          <w:szCs w:val="26"/>
        </w:rPr>
        <w:t xml:space="preserve"> 事业单位国有资产的使用包括单位自用和对外投资、出租、出借、担保等方式。</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第二十条</w:t>
      </w:r>
      <w:r>
        <w:rPr>
          <w:rFonts w:hint="eastAsia"/>
          <w:color w:val="303030"/>
          <w:sz w:val="26"/>
          <w:szCs w:val="26"/>
        </w:rPr>
        <w:t xml:space="preserve"> 事业单位应当建立健全资产购置、验收、保管、使用等内部管理制度。</w:t>
      </w:r>
    </w:p>
    <w:p>
      <w:pPr>
        <w:pStyle w:val="6"/>
        <w:spacing w:line="400" w:lineRule="exact"/>
        <w:ind w:left="140" w:right="113" w:firstLine="548" w:firstLineChars="200"/>
        <w:jc w:val="left"/>
        <w:rPr>
          <w:sz w:val="26"/>
          <w:szCs w:val="26"/>
        </w:rPr>
      </w:pPr>
      <w:r>
        <w:rPr>
          <w:rFonts w:hint="eastAsia"/>
          <w:color w:val="303030"/>
          <w:spacing w:val="7"/>
          <w:sz w:val="26"/>
          <w:szCs w:val="26"/>
        </w:rPr>
        <w:t xml:space="preserve">事业单位应当对实物资产进行定期清查，做到账账、账卡、账实相符，加强对本单位专利权、商标权、著作权、土地使用 </w:t>
      </w:r>
      <w:r>
        <w:rPr>
          <w:rFonts w:hint="eastAsia"/>
          <w:color w:val="303030"/>
          <w:spacing w:val="6"/>
          <w:sz w:val="26"/>
          <w:szCs w:val="26"/>
        </w:rPr>
        <w:t>权、非专利技术、商誉等无形资产的管理，防止无形资产流失。</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第二十一条</w:t>
      </w:r>
      <w:r>
        <w:rPr>
          <w:rFonts w:hint="eastAsia"/>
          <w:color w:val="303030"/>
          <w:sz w:val="26"/>
          <w:szCs w:val="26"/>
        </w:rPr>
        <w:t xml:space="preserve"> 事业单位利用国有资产对外投资、出租、出借和担保等应当进行必要的可行性论证，并提出申请，经主管部门审核同意后，报同级财政部门审批。法律、行政法规和本办法第五十六条另有规定的，依照其规定。</w:t>
      </w:r>
    </w:p>
    <w:p>
      <w:pPr>
        <w:pStyle w:val="6"/>
        <w:spacing w:line="400" w:lineRule="exact"/>
        <w:ind w:left="140" w:right="405" w:firstLine="520" w:firstLineChars="200"/>
        <w:jc w:val="left"/>
        <w:rPr>
          <w:sz w:val="26"/>
          <w:szCs w:val="26"/>
        </w:rPr>
      </w:pPr>
      <w:r>
        <w:rPr>
          <w:rFonts w:hint="eastAsia"/>
          <w:color w:val="303030"/>
          <w:sz w:val="26"/>
          <w:szCs w:val="26"/>
        </w:rPr>
        <w:t>事业单位应当对本单位用于对外投资、出租和出借的资产实行专项管理，并在单位财务会计报告中对相关信息进行充分披露。</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第二十二条</w:t>
      </w:r>
      <w:r>
        <w:rPr>
          <w:rFonts w:hint="eastAsia"/>
          <w:color w:val="303030"/>
          <w:sz w:val="26"/>
          <w:szCs w:val="26"/>
        </w:rPr>
        <w:t xml:space="preserve"> 财政部门和主管部门应当加强对事业单位利用国有资产对外投资、出租、出借和担保等行为的风险控制。</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第二十三条</w:t>
      </w:r>
      <w:r>
        <w:rPr>
          <w:rFonts w:hint="eastAsia"/>
          <w:color w:val="303030"/>
          <w:sz w:val="26"/>
          <w:szCs w:val="26"/>
        </w:rPr>
        <w:t xml:space="preserve"> 除本办法第五十六条及国家另有规定外，事业单位对外投资收益以及利用国有资产出租、出借和担保等取得的收入应当纳入单位预算，统一核算，统一管理。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资产处置</w:t>
      </w:r>
    </w:p>
    <w:p>
      <w:pPr>
        <w:pStyle w:val="6"/>
        <w:spacing w:line="400" w:lineRule="exact"/>
        <w:ind w:left="140" w:right="413" w:firstLine="520" w:firstLineChars="200"/>
        <w:jc w:val="left"/>
        <w:rPr>
          <w:sz w:val="26"/>
          <w:szCs w:val="26"/>
        </w:rPr>
      </w:pPr>
      <w:r>
        <w:rPr>
          <w:rFonts w:hint="eastAsia" w:ascii="楷体" w:hAnsi="楷体" w:eastAsia="楷体" w:cs="楷体"/>
          <w:color w:val="303030"/>
          <w:sz w:val="26"/>
          <w:szCs w:val="26"/>
        </w:rPr>
        <w:t>第二十四条</w:t>
      </w:r>
      <w:r>
        <w:rPr>
          <w:rFonts w:hint="eastAsia"/>
          <w:color w:val="303030"/>
          <w:sz w:val="26"/>
          <w:szCs w:val="26"/>
        </w:rPr>
        <w:t xml:space="preserve"> 事业单位国有资产处置，是指事业单位对其占有、使用的国有资产进行产权转让或者注销产权的行为。处置方式包括出售、出让、转让、对外捐赠、报废、报损以及货币性资产损失核销等。</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第二十五条</w:t>
      </w:r>
      <w:r>
        <w:rPr>
          <w:rFonts w:hint="eastAsia"/>
          <w:color w:val="303030"/>
          <w:sz w:val="26"/>
          <w:szCs w:val="26"/>
        </w:rPr>
        <w:t xml:space="preserve"> 除本办法第五十六条另有规定外，事业单位处置国有资产，应当严格履行审批手续，未经批准不得自行处置。</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第二十六条</w:t>
      </w:r>
      <w:r>
        <w:rPr>
          <w:rFonts w:hint="eastAsia"/>
          <w:color w:val="303030"/>
          <w:sz w:val="26"/>
          <w:szCs w:val="26"/>
        </w:rPr>
        <w:t xml:space="preserve"> 事业单位占有、使用的房屋建筑物、土地和车辆的处置，货币性资产损失的核销，以及单位价值或者批量价值在规定限额以上的资产的处置，经主管部门审核后报同级财政部门审批；规定限额以下的资产的处置报主管部门审批，主管部门将审批结果定期报同级财政部门备案。法律、行政法规和本办法第五十六条另有规定的，依照其规定。</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第二十七条</w:t>
      </w:r>
      <w:r>
        <w:rPr>
          <w:rFonts w:hint="eastAsia"/>
          <w:color w:val="303030"/>
          <w:sz w:val="26"/>
          <w:szCs w:val="26"/>
        </w:rPr>
        <w:t xml:space="preserve"> 财政部门或者主管部门对事业单位国有资产处置事项的批复是财政部门重新安排事业单位有关资产配置预算项目的参考依据，是事业单位调整相关会计账目的凭证。</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第二十八条</w:t>
      </w:r>
      <w:r>
        <w:rPr>
          <w:rFonts w:hint="eastAsia"/>
          <w:color w:val="303030"/>
          <w:sz w:val="26"/>
          <w:szCs w:val="26"/>
        </w:rPr>
        <w:t xml:space="preserve"> 事业单位国有资产处置应当遵循公开、公正、公平的原则。</w:t>
      </w:r>
    </w:p>
    <w:p>
      <w:pPr>
        <w:pStyle w:val="6"/>
        <w:spacing w:line="400" w:lineRule="exact"/>
        <w:ind w:left="140" w:right="120" w:firstLine="520" w:firstLineChars="200"/>
        <w:jc w:val="left"/>
        <w:rPr>
          <w:color w:val="303030"/>
          <w:sz w:val="26"/>
          <w:szCs w:val="26"/>
        </w:rPr>
      </w:pPr>
      <w:r>
        <w:rPr>
          <w:rFonts w:hint="eastAsia"/>
          <w:color w:val="303030"/>
          <w:sz w:val="26"/>
          <w:szCs w:val="26"/>
        </w:rPr>
        <w:t>事业单位出售、出让、转让、变卖资产数量较多或者价值较高的，应当通过拍卖等市场竞价方式公开处置。</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第二十九条</w:t>
      </w:r>
      <w:r>
        <w:rPr>
          <w:rFonts w:hint="eastAsia"/>
          <w:color w:val="303030"/>
          <w:sz w:val="26"/>
          <w:szCs w:val="26"/>
        </w:rPr>
        <w:t xml:space="preserve"> 除本办法第五十六条另有规定外，事业单位国有资产处置收入属于国家所有，应当按照政府非税收入管理的规定，实行“收支两条线”管理。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产权登记与产权纠纷处理</w:t>
      </w:r>
    </w:p>
    <w:p>
      <w:pPr>
        <w:pStyle w:val="6"/>
        <w:spacing w:line="400" w:lineRule="exact"/>
        <w:ind w:left="140" w:right="115" w:firstLine="520" w:firstLineChars="200"/>
        <w:jc w:val="left"/>
        <w:rPr>
          <w:color w:val="303030"/>
          <w:sz w:val="26"/>
          <w:szCs w:val="26"/>
        </w:rPr>
      </w:pPr>
      <w:r>
        <w:rPr>
          <w:rFonts w:hint="eastAsia" w:ascii="楷体" w:hAnsi="楷体" w:eastAsia="楷体" w:cs="楷体"/>
          <w:color w:val="303030"/>
          <w:sz w:val="26"/>
          <w:szCs w:val="26"/>
        </w:rPr>
        <w:t>第三十条</w:t>
      </w:r>
      <w:r>
        <w:rPr>
          <w:rFonts w:hint="eastAsia"/>
          <w:color w:val="303030"/>
          <w:sz w:val="26"/>
          <w:szCs w:val="26"/>
        </w:rPr>
        <w:t xml:space="preserve"> 事业单位国有资产产权登记（以下简称产权登记） 是国家对事业单位占有、使用的国有资产进行登记，依法确认 国家对国有资产的所有权和事业单位对国有资产的占有、使用 权的行为。</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第三十一条</w:t>
      </w:r>
      <w:r>
        <w:rPr>
          <w:rFonts w:hint="eastAsia"/>
          <w:color w:val="303030"/>
          <w:sz w:val="26"/>
          <w:szCs w:val="26"/>
        </w:rPr>
        <w:t xml:space="preserve"> 事业单位应当向同级财政部门或者经同级财政部门授权的主管部门（以下简称授权部门）申报、办理产权登记，并由财政部门或者授权部门核发《事业单位国有资产产权登记证》（以下简称《产权登记证》）。</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第三十二条</w:t>
      </w:r>
      <w:r>
        <w:rPr>
          <w:rFonts w:hint="eastAsia"/>
          <w:color w:val="303030"/>
          <w:sz w:val="26"/>
          <w:szCs w:val="26"/>
        </w:rPr>
        <w:t xml:space="preserve"> 《产权登记证》是国家对事业单位国有资产享有所有权，单位享有占有、使用权的法律凭证，由财政部统一印制。</w:t>
      </w:r>
    </w:p>
    <w:p>
      <w:pPr>
        <w:pStyle w:val="6"/>
        <w:spacing w:line="400" w:lineRule="exact"/>
        <w:ind w:left="140" w:right="120" w:firstLine="520" w:firstLineChars="200"/>
        <w:jc w:val="left"/>
        <w:rPr>
          <w:color w:val="303030"/>
          <w:sz w:val="26"/>
          <w:szCs w:val="26"/>
        </w:rPr>
      </w:pPr>
      <w:r>
        <w:rPr>
          <w:rFonts w:hint="eastAsia"/>
          <w:color w:val="303030"/>
          <w:sz w:val="26"/>
          <w:szCs w:val="26"/>
        </w:rPr>
        <w:t>事业单位办理法人年检、改制、资产处置和利用国有资产对外投资、出租、出借、担保等事项时，应当出具《产权登记证》。</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第三十三条</w:t>
      </w:r>
      <w:r>
        <w:rPr>
          <w:rFonts w:hint="eastAsia"/>
          <w:color w:val="303030"/>
          <w:sz w:val="26"/>
          <w:szCs w:val="26"/>
        </w:rPr>
        <w:t xml:space="preserve"> 事业单位国有资产产权登记的内容主要包括：</w:t>
      </w:r>
    </w:p>
    <w:p>
      <w:pPr>
        <w:pStyle w:val="6"/>
        <w:spacing w:line="400" w:lineRule="exact"/>
        <w:ind w:left="140" w:right="120" w:firstLine="520" w:firstLineChars="200"/>
        <w:jc w:val="left"/>
        <w:rPr>
          <w:color w:val="303030"/>
          <w:sz w:val="26"/>
          <w:szCs w:val="26"/>
        </w:rPr>
      </w:pPr>
      <w:r>
        <w:rPr>
          <w:rFonts w:hint="eastAsia"/>
          <w:color w:val="303030"/>
          <w:sz w:val="26"/>
          <w:szCs w:val="26"/>
        </w:rPr>
        <w:t>（一）单位名称、住所、负责人及成立时间；</w:t>
      </w:r>
    </w:p>
    <w:p>
      <w:pPr>
        <w:pStyle w:val="6"/>
        <w:spacing w:line="400" w:lineRule="exact"/>
        <w:ind w:left="140" w:right="120" w:firstLine="520" w:firstLineChars="200"/>
        <w:jc w:val="left"/>
        <w:rPr>
          <w:color w:val="303030"/>
          <w:sz w:val="26"/>
          <w:szCs w:val="26"/>
        </w:rPr>
      </w:pPr>
      <w:r>
        <w:rPr>
          <w:rFonts w:hint="eastAsia"/>
          <w:color w:val="303030"/>
          <w:sz w:val="26"/>
          <w:szCs w:val="26"/>
        </w:rPr>
        <w:t>（二）单位性质、主管部门；</w:t>
      </w:r>
    </w:p>
    <w:p>
      <w:pPr>
        <w:pStyle w:val="6"/>
        <w:spacing w:line="400" w:lineRule="exact"/>
        <w:ind w:left="140" w:right="120" w:firstLine="520" w:firstLineChars="200"/>
        <w:jc w:val="left"/>
        <w:rPr>
          <w:color w:val="303030"/>
          <w:sz w:val="26"/>
          <w:szCs w:val="26"/>
        </w:rPr>
      </w:pPr>
      <w:r>
        <w:rPr>
          <w:rFonts w:hint="eastAsia"/>
          <w:color w:val="303030"/>
          <w:sz w:val="26"/>
          <w:szCs w:val="26"/>
        </w:rPr>
        <w:t>（三）单位资产总额、国有资产总额、主要实物资产额及其使用状况、对外投资情况；</w:t>
      </w:r>
    </w:p>
    <w:p>
      <w:pPr>
        <w:pStyle w:val="6"/>
        <w:spacing w:line="400" w:lineRule="exact"/>
        <w:ind w:left="140" w:right="120" w:firstLine="520" w:firstLineChars="200"/>
        <w:jc w:val="left"/>
        <w:rPr>
          <w:color w:val="303030"/>
          <w:sz w:val="26"/>
          <w:szCs w:val="26"/>
        </w:rPr>
      </w:pPr>
      <w:r>
        <w:rPr>
          <w:rFonts w:hint="eastAsia"/>
          <w:color w:val="303030"/>
          <w:sz w:val="26"/>
          <w:szCs w:val="26"/>
        </w:rPr>
        <w:t>（四）其他需要登记的事项。</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第三十四条</w:t>
      </w:r>
      <w:r>
        <w:rPr>
          <w:rFonts w:hint="eastAsia"/>
          <w:color w:val="303030"/>
          <w:sz w:val="26"/>
          <w:szCs w:val="26"/>
        </w:rPr>
        <w:t xml:space="preserve"> 事业单位应当按照以下规定进行国有资产产权登记：</w:t>
      </w:r>
    </w:p>
    <w:p>
      <w:pPr>
        <w:pStyle w:val="6"/>
        <w:spacing w:line="400" w:lineRule="exact"/>
        <w:ind w:left="140" w:right="120" w:firstLine="520" w:firstLineChars="200"/>
        <w:jc w:val="left"/>
        <w:rPr>
          <w:color w:val="303030"/>
          <w:sz w:val="26"/>
          <w:szCs w:val="26"/>
        </w:rPr>
      </w:pPr>
      <w:r>
        <w:rPr>
          <w:rFonts w:hint="eastAsia"/>
          <w:color w:val="303030"/>
          <w:sz w:val="26"/>
          <w:szCs w:val="26"/>
        </w:rPr>
        <w:t>（一）新设立的事业单位，办理占有产权登记；</w:t>
      </w:r>
    </w:p>
    <w:p>
      <w:pPr>
        <w:pStyle w:val="6"/>
        <w:spacing w:line="400" w:lineRule="exact"/>
        <w:ind w:left="140" w:right="120" w:firstLine="520" w:firstLineChars="200"/>
        <w:jc w:val="left"/>
        <w:rPr>
          <w:color w:val="303030"/>
          <w:sz w:val="26"/>
          <w:szCs w:val="26"/>
        </w:rPr>
      </w:pPr>
      <w:r>
        <w:rPr>
          <w:rFonts w:hint="eastAsia"/>
          <w:color w:val="303030"/>
          <w:sz w:val="26"/>
          <w:szCs w:val="26"/>
        </w:rPr>
        <w:t>（二）发生分立、合并、部分改制，以及隶属关系、单位名称、住所和单位负责人等产权登记内容发生变化的事业单位，办理变更产权登记；</w:t>
      </w:r>
    </w:p>
    <w:p>
      <w:pPr>
        <w:pStyle w:val="6"/>
        <w:spacing w:line="400" w:lineRule="exact"/>
        <w:ind w:left="140" w:right="120" w:firstLine="520" w:firstLineChars="200"/>
        <w:jc w:val="left"/>
        <w:rPr>
          <w:color w:val="303030"/>
          <w:sz w:val="26"/>
          <w:szCs w:val="26"/>
        </w:rPr>
      </w:pPr>
      <w:r>
        <w:rPr>
          <w:rFonts w:hint="eastAsia"/>
          <w:color w:val="303030"/>
          <w:sz w:val="26"/>
          <w:szCs w:val="26"/>
        </w:rPr>
        <w:t>（三）因依法撤销或者整体改制等原因被清算、注销的事业单位，办理注销产权登记。</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第三十五条</w:t>
      </w:r>
      <w:r>
        <w:rPr>
          <w:rFonts w:hint="eastAsia"/>
          <w:color w:val="303030"/>
          <w:sz w:val="26"/>
          <w:szCs w:val="26"/>
        </w:rPr>
        <w:t xml:space="preserve"> 各级财政部门应当在资产动态管理信息系统和变更产权登记的基础上，对事业单位国有资产产权登记实行定期检查。</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第三十六条</w:t>
      </w:r>
      <w:r>
        <w:rPr>
          <w:rFonts w:hint="eastAsia"/>
          <w:color w:val="303030"/>
          <w:sz w:val="26"/>
          <w:szCs w:val="26"/>
        </w:rPr>
        <w:t xml:space="preserve"> 事业单位与其他国有单位之间发生国有资产产权纠纷的，由当事人协商解决。协商不能解决的，可以向同级或者共同上一级财政部门申请调解或者裁定，必要时报有管辖权的人民政府处理。</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第三十七条</w:t>
      </w:r>
      <w:r>
        <w:rPr>
          <w:rFonts w:hint="eastAsia"/>
          <w:color w:val="303030"/>
          <w:sz w:val="26"/>
          <w:szCs w:val="26"/>
        </w:rPr>
        <w:t xml:space="preserve"> 事业单位与非国有单位或者个人之间发生产权纠纷的，事业单位应当提出拟处理意见，经主管部门审核并报同级财政部门批准后，与对方当事人协商解决。协商不能解决的，依照司法程序处理。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资产评估与资产清查</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第三十八条</w:t>
      </w:r>
      <w:r>
        <w:rPr>
          <w:rFonts w:hint="eastAsia"/>
          <w:color w:val="303030"/>
          <w:sz w:val="26"/>
          <w:szCs w:val="26"/>
        </w:rPr>
        <w:t xml:space="preserve"> 事业单位有下列情形之一的，应当对相关国有资产进行评估：</w:t>
      </w:r>
    </w:p>
    <w:p>
      <w:pPr>
        <w:pStyle w:val="6"/>
        <w:spacing w:line="400" w:lineRule="exact"/>
        <w:ind w:left="140" w:right="120" w:firstLine="520" w:firstLineChars="200"/>
        <w:jc w:val="left"/>
        <w:rPr>
          <w:color w:val="303030"/>
          <w:sz w:val="26"/>
          <w:szCs w:val="26"/>
        </w:rPr>
      </w:pPr>
      <w:r>
        <w:rPr>
          <w:rFonts w:hint="eastAsia"/>
          <w:color w:val="303030"/>
          <w:sz w:val="26"/>
          <w:szCs w:val="26"/>
        </w:rPr>
        <w:t>（一）整体或者部分改制为企业；</w:t>
      </w:r>
    </w:p>
    <w:p>
      <w:pPr>
        <w:pStyle w:val="6"/>
        <w:spacing w:line="400" w:lineRule="exact"/>
        <w:ind w:left="140" w:right="120" w:firstLine="520" w:firstLineChars="200"/>
        <w:jc w:val="left"/>
        <w:rPr>
          <w:color w:val="303030"/>
          <w:sz w:val="26"/>
          <w:szCs w:val="26"/>
        </w:rPr>
      </w:pPr>
      <w:r>
        <w:rPr>
          <w:rFonts w:hint="eastAsia"/>
          <w:color w:val="303030"/>
          <w:sz w:val="26"/>
          <w:szCs w:val="26"/>
        </w:rPr>
        <w:t>（二）以非货币性资产对外投资；</w:t>
      </w:r>
    </w:p>
    <w:p>
      <w:pPr>
        <w:pStyle w:val="6"/>
        <w:spacing w:line="400" w:lineRule="exact"/>
        <w:ind w:left="140" w:right="120" w:firstLine="520" w:firstLineChars="200"/>
        <w:jc w:val="left"/>
        <w:rPr>
          <w:color w:val="303030"/>
          <w:sz w:val="26"/>
          <w:szCs w:val="26"/>
        </w:rPr>
      </w:pPr>
      <w:r>
        <w:rPr>
          <w:rFonts w:hint="eastAsia"/>
          <w:color w:val="303030"/>
          <w:sz w:val="26"/>
          <w:szCs w:val="26"/>
        </w:rPr>
        <w:t>（三）合并、分立、清算；</w:t>
      </w:r>
    </w:p>
    <w:p>
      <w:pPr>
        <w:pStyle w:val="6"/>
        <w:spacing w:line="400" w:lineRule="exact"/>
        <w:ind w:left="140" w:right="120" w:firstLine="520" w:firstLineChars="200"/>
        <w:jc w:val="left"/>
        <w:rPr>
          <w:color w:val="303030"/>
          <w:sz w:val="26"/>
          <w:szCs w:val="26"/>
        </w:rPr>
      </w:pPr>
      <w:r>
        <w:rPr>
          <w:rFonts w:hint="eastAsia"/>
          <w:color w:val="303030"/>
          <w:sz w:val="26"/>
          <w:szCs w:val="26"/>
        </w:rPr>
        <w:t>（四）资产拍卖、转让、置换；</w:t>
      </w:r>
    </w:p>
    <w:p>
      <w:pPr>
        <w:pStyle w:val="6"/>
        <w:spacing w:line="400" w:lineRule="exact"/>
        <w:ind w:left="140" w:right="120" w:firstLine="520" w:firstLineChars="200"/>
        <w:jc w:val="left"/>
        <w:rPr>
          <w:color w:val="303030"/>
          <w:sz w:val="26"/>
          <w:szCs w:val="26"/>
        </w:rPr>
      </w:pPr>
      <w:r>
        <w:rPr>
          <w:rFonts w:hint="eastAsia"/>
          <w:color w:val="303030"/>
          <w:sz w:val="26"/>
          <w:szCs w:val="26"/>
        </w:rPr>
        <w:t>（五）整体或者部分资产租赁给非国有单位；</w:t>
      </w:r>
    </w:p>
    <w:p>
      <w:pPr>
        <w:pStyle w:val="6"/>
        <w:spacing w:line="400" w:lineRule="exact"/>
        <w:ind w:left="140" w:right="120" w:firstLine="520" w:firstLineChars="200"/>
        <w:jc w:val="left"/>
        <w:rPr>
          <w:color w:val="303030"/>
          <w:sz w:val="26"/>
          <w:szCs w:val="26"/>
        </w:rPr>
      </w:pPr>
      <w:r>
        <w:rPr>
          <w:rFonts w:hint="eastAsia"/>
          <w:color w:val="303030"/>
          <w:sz w:val="26"/>
          <w:szCs w:val="26"/>
        </w:rPr>
        <w:t>（六）确定涉讼资产价值；</w:t>
      </w:r>
    </w:p>
    <w:p>
      <w:pPr>
        <w:pStyle w:val="6"/>
        <w:spacing w:line="400" w:lineRule="exact"/>
        <w:ind w:left="140" w:right="120" w:firstLine="520" w:firstLineChars="200"/>
        <w:jc w:val="left"/>
        <w:rPr>
          <w:color w:val="303030"/>
          <w:sz w:val="26"/>
          <w:szCs w:val="26"/>
        </w:rPr>
      </w:pPr>
      <w:r>
        <w:rPr>
          <w:rFonts w:hint="eastAsia"/>
          <w:color w:val="303030"/>
          <w:sz w:val="26"/>
          <w:szCs w:val="26"/>
        </w:rPr>
        <w:t>（七）法律、行政法规规定的其他需要进行评估的事项。</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 xml:space="preserve">第三十九条 </w:t>
      </w:r>
      <w:r>
        <w:rPr>
          <w:rFonts w:hint="eastAsia"/>
          <w:color w:val="303030"/>
          <w:sz w:val="26"/>
          <w:szCs w:val="26"/>
        </w:rPr>
        <w:t>事业单位有下列情形之一的，可以不进行资产评估：</w:t>
      </w:r>
    </w:p>
    <w:p>
      <w:pPr>
        <w:pStyle w:val="6"/>
        <w:spacing w:line="400" w:lineRule="exact"/>
        <w:ind w:left="140" w:right="120" w:firstLine="520" w:firstLineChars="200"/>
        <w:jc w:val="left"/>
        <w:rPr>
          <w:color w:val="303030"/>
          <w:sz w:val="26"/>
          <w:szCs w:val="26"/>
        </w:rPr>
      </w:pPr>
      <w:r>
        <w:rPr>
          <w:rFonts w:hint="eastAsia"/>
          <w:color w:val="303030"/>
          <w:sz w:val="26"/>
          <w:szCs w:val="26"/>
        </w:rPr>
        <w:t>（一）经批准事业单位整体或者部分资产无偿划转；</w:t>
      </w:r>
    </w:p>
    <w:p>
      <w:pPr>
        <w:pStyle w:val="6"/>
        <w:spacing w:line="400" w:lineRule="exact"/>
        <w:ind w:left="140" w:right="120" w:firstLine="520" w:firstLineChars="200"/>
        <w:jc w:val="left"/>
        <w:rPr>
          <w:color w:val="303030"/>
          <w:sz w:val="26"/>
          <w:szCs w:val="26"/>
        </w:rPr>
      </w:pPr>
      <w:r>
        <w:rPr>
          <w:rFonts w:hint="eastAsia"/>
          <w:color w:val="303030"/>
          <w:sz w:val="26"/>
          <w:szCs w:val="26"/>
        </w:rPr>
        <w:t>（二）行政、事业单位下属的事业单位之间的合并、资产划转、置换和转让；</w:t>
      </w:r>
    </w:p>
    <w:p>
      <w:pPr>
        <w:pStyle w:val="6"/>
        <w:spacing w:line="400" w:lineRule="exact"/>
        <w:ind w:left="140" w:right="120" w:firstLine="520" w:firstLineChars="200"/>
        <w:jc w:val="left"/>
        <w:rPr>
          <w:color w:val="303030"/>
          <w:sz w:val="26"/>
          <w:szCs w:val="26"/>
        </w:rPr>
      </w:pPr>
      <w:r>
        <w:rPr>
          <w:rFonts w:hint="eastAsia"/>
          <w:color w:val="303030"/>
          <w:sz w:val="26"/>
          <w:szCs w:val="26"/>
        </w:rPr>
        <w:t>（三）国家设立的研究开发机构、高等院校将其持有的科技成果转让、许可或者作价投资给国有全资企业的；</w:t>
      </w:r>
    </w:p>
    <w:p>
      <w:pPr>
        <w:pStyle w:val="6"/>
        <w:spacing w:line="400" w:lineRule="exact"/>
        <w:ind w:left="140" w:right="120" w:firstLine="520" w:firstLineChars="200"/>
        <w:jc w:val="left"/>
        <w:rPr>
          <w:color w:val="303030"/>
          <w:sz w:val="26"/>
          <w:szCs w:val="26"/>
        </w:rPr>
      </w:pPr>
      <w:r>
        <w:rPr>
          <w:rFonts w:hint="eastAsia"/>
          <w:color w:val="303030"/>
          <w:sz w:val="26"/>
          <w:szCs w:val="26"/>
        </w:rPr>
        <w:t>（四）发生其他不影响国有资产权益的特殊产权变动行为，报经同级财政部门确认可以不进行资产评估的。</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第四十条</w:t>
      </w:r>
      <w:r>
        <w:rPr>
          <w:rFonts w:hint="eastAsia"/>
          <w:color w:val="303030"/>
          <w:sz w:val="26"/>
          <w:szCs w:val="26"/>
        </w:rPr>
        <w:t xml:space="preserve"> 国家设立的研究开发机构、高等院校将其持有的科技成果转让、许可或者作价投资给非国有全资企业的，由单位自主决定是否进行资产评估。</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第四十一条</w:t>
      </w:r>
      <w:r>
        <w:rPr>
          <w:rFonts w:hint="eastAsia"/>
          <w:color w:val="303030"/>
          <w:sz w:val="26"/>
          <w:szCs w:val="26"/>
        </w:rPr>
        <w:t xml:space="preserve"> 事业单位国有资产评估工作应当委托具有资产评估资质的评估机构进行。事业单位应当如实向资产评估机构提供有关情况和资料，并对所提供的情况和资料的客观性、真实性和合法性负责。</w:t>
      </w:r>
    </w:p>
    <w:p>
      <w:pPr>
        <w:pStyle w:val="6"/>
        <w:spacing w:line="400" w:lineRule="exact"/>
        <w:ind w:left="140" w:right="120" w:firstLine="520" w:firstLineChars="200"/>
        <w:jc w:val="left"/>
        <w:rPr>
          <w:color w:val="303030"/>
          <w:sz w:val="26"/>
          <w:szCs w:val="26"/>
        </w:rPr>
      </w:pPr>
      <w:r>
        <w:rPr>
          <w:rFonts w:hint="eastAsia"/>
          <w:color w:val="303030"/>
          <w:sz w:val="26"/>
          <w:szCs w:val="26"/>
        </w:rPr>
        <w:t>事业单位不得以任何形式干预资产评估机构独立执业。</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第四十二条</w:t>
      </w:r>
      <w:r>
        <w:rPr>
          <w:rFonts w:hint="eastAsia"/>
          <w:color w:val="303030"/>
          <w:sz w:val="26"/>
          <w:szCs w:val="26"/>
        </w:rPr>
        <w:t xml:space="preserve"> 事业单位国有资产评估项目实行核准制和备案制。核准和备案工作按照国家有关国有资产评估项目核准和备案管理的规定执行。</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 xml:space="preserve">第四十三条 </w:t>
      </w:r>
      <w:r>
        <w:rPr>
          <w:rFonts w:hint="eastAsia"/>
          <w:color w:val="303030"/>
          <w:sz w:val="26"/>
          <w:szCs w:val="26"/>
        </w:rPr>
        <w:t>事业单位有下列情形之一的，应当进行资产清查：</w:t>
      </w:r>
    </w:p>
    <w:p>
      <w:pPr>
        <w:pStyle w:val="6"/>
        <w:spacing w:line="400" w:lineRule="exact"/>
        <w:ind w:left="140" w:right="120" w:firstLine="520" w:firstLineChars="200"/>
        <w:jc w:val="left"/>
        <w:rPr>
          <w:color w:val="303030"/>
          <w:sz w:val="26"/>
          <w:szCs w:val="26"/>
        </w:rPr>
      </w:pPr>
      <w:r>
        <w:rPr>
          <w:rFonts w:hint="eastAsia"/>
          <w:color w:val="303030"/>
          <w:sz w:val="26"/>
          <w:szCs w:val="26"/>
        </w:rPr>
        <w:t>（一）根据国家专项工作要求或者本级政府实际工作需要，被纳入统一组织的资产清查范围的；</w:t>
      </w:r>
    </w:p>
    <w:p>
      <w:pPr>
        <w:pStyle w:val="6"/>
        <w:spacing w:line="400" w:lineRule="exact"/>
        <w:ind w:left="140" w:right="120" w:firstLine="520" w:firstLineChars="200"/>
        <w:jc w:val="left"/>
        <w:rPr>
          <w:color w:val="303030"/>
          <w:sz w:val="26"/>
          <w:szCs w:val="26"/>
        </w:rPr>
      </w:pPr>
      <w:r>
        <w:rPr>
          <w:rFonts w:hint="eastAsia"/>
          <w:color w:val="303030"/>
          <w:sz w:val="26"/>
          <w:szCs w:val="26"/>
        </w:rPr>
        <w:t>（二）进行重大改革或者整体、部分改制为企业的；</w:t>
      </w:r>
    </w:p>
    <w:p>
      <w:pPr>
        <w:pStyle w:val="6"/>
        <w:spacing w:line="400" w:lineRule="exact"/>
        <w:ind w:left="140" w:right="120" w:firstLine="520" w:firstLineChars="200"/>
        <w:jc w:val="left"/>
        <w:rPr>
          <w:color w:val="303030"/>
          <w:sz w:val="26"/>
          <w:szCs w:val="26"/>
        </w:rPr>
      </w:pPr>
      <w:r>
        <w:rPr>
          <w:rFonts w:hint="eastAsia"/>
          <w:color w:val="303030"/>
          <w:sz w:val="26"/>
          <w:szCs w:val="26"/>
        </w:rPr>
        <w:t>（三）遭受重大自然灾害等不可抗力造成资产严重损失的；</w:t>
      </w:r>
    </w:p>
    <w:p>
      <w:pPr>
        <w:pStyle w:val="6"/>
        <w:spacing w:line="400" w:lineRule="exact"/>
        <w:ind w:left="140" w:right="120" w:firstLine="520" w:firstLineChars="200"/>
        <w:jc w:val="left"/>
        <w:rPr>
          <w:color w:val="303030"/>
          <w:sz w:val="26"/>
          <w:szCs w:val="26"/>
        </w:rPr>
      </w:pPr>
      <w:r>
        <w:rPr>
          <w:rFonts w:hint="eastAsia"/>
          <w:color w:val="303030"/>
          <w:sz w:val="26"/>
          <w:szCs w:val="26"/>
        </w:rPr>
        <w:t>（四）会计信息严重失真或者国有资产出现重大流失的；</w:t>
      </w:r>
    </w:p>
    <w:p>
      <w:pPr>
        <w:pStyle w:val="6"/>
        <w:spacing w:line="400" w:lineRule="exact"/>
        <w:ind w:left="140" w:right="120" w:firstLine="520" w:firstLineChars="200"/>
        <w:jc w:val="left"/>
        <w:rPr>
          <w:color w:val="303030"/>
          <w:sz w:val="26"/>
          <w:szCs w:val="26"/>
        </w:rPr>
      </w:pPr>
      <w:r>
        <w:rPr>
          <w:rFonts w:hint="eastAsia"/>
          <w:color w:val="303030"/>
          <w:sz w:val="26"/>
          <w:szCs w:val="26"/>
        </w:rPr>
        <w:t>（五）会计政策发生重大更改，涉及资产核算方法发生重要变化的；</w:t>
      </w:r>
    </w:p>
    <w:p>
      <w:pPr>
        <w:pStyle w:val="6"/>
        <w:spacing w:line="400" w:lineRule="exact"/>
        <w:ind w:left="140" w:right="120" w:firstLine="520" w:firstLineChars="200"/>
        <w:jc w:val="left"/>
        <w:rPr>
          <w:color w:val="303030"/>
          <w:sz w:val="26"/>
          <w:szCs w:val="26"/>
        </w:rPr>
      </w:pPr>
      <w:r>
        <w:rPr>
          <w:rFonts w:hint="eastAsia"/>
          <w:color w:val="303030"/>
          <w:sz w:val="26"/>
          <w:szCs w:val="26"/>
        </w:rPr>
        <w:t>（六）同级财政部门认为应当进行资产清查的其他情形。</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第四十四条</w:t>
      </w:r>
      <w:r>
        <w:rPr>
          <w:rFonts w:hint="eastAsia"/>
          <w:color w:val="303030"/>
          <w:sz w:val="26"/>
          <w:szCs w:val="26"/>
        </w:rPr>
        <w:t xml:space="preserve"> 事业单位进行资产清查，应当向主管部门提出申请，并按照规定程序报同级财政部门批准立项后组织实施，但根据国家专项工作要求或者本级政府工作需要进行的资产清查除外。</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 xml:space="preserve">第四十五条 </w:t>
      </w:r>
      <w:r>
        <w:rPr>
          <w:rFonts w:hint="eastAsia"/>
          <w:color w:val="303030"/>
          <w:sz w:val="26"/>
          <w:szCs w:val="26"/>
        </w:rPr>
        <w:t>事业单位资产清查工作的内容主要包括基本情况清理、账务清理、财产清查、损溢认定、资产核实和完善制度等。资产清查的具体办法由财政部另行制定。</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资产信息管理与报告</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第四十六条</w:t>
      </w:r>
      <w:r>
        <w:rPr>
          <w:rFonts w:hint="eastAsia"/>
          <w:color w:val="303030"/>
          <w:sz w:val="26"/>
          <w:szCs w:val="26"/>
        </w:rPr>
        <w:t xml:space="preserve"> 事业单位应当按照国有资产管理信息化的要求，及时将资产变动信息录入管理信息系统，对本单位资产实行动态管理，并在此基础上做好国有资产统计和信息报告工作。</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第四十七条</w:t>
      </w:r>
      <w:r>
        <w:rPr>
          <w:rFonts w:hint="eastAsia"/>
          <w:color w:val="303030"/>
          <w:sz w:val="26"/>
          <w:szCs w:val="26"/>
        </w:rPr>
        <w:t xml:space="preserve"> 事业单位国有资产信息报告是事业单位财务会计报告的重要组成部分。事业单位应当按照财政部门规定的事业单位财务会计报告的格式、内容及要求，对其占有、使用的国有资产状况定期做出报告。</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第四十八条</w:t>
      </w:r>
      <w:r>
        <w:rPr>
          <w:rFonts w:hint="eastAsia"/>
          <w:color w:val="303030"/>
          <w:sz w:val="26"/>
          <w:szCs w:val="26"/>
        </w:rPr>
        <w:t xml:space="preserve"> 事业单位国有资产占有、使用状况，是主管部门、财政部门编制和安排事业单位预算的重要参考依据。各级财政部门、主管部门应当充分利用资产管理信息系统和资产信息报告，全面、动态地掌握事业单位国有资产占有、使用状况，建立和完善资产与预算有效结合的激励和约束机制。</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 监督检查与法律责任</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第四十九条</w:t>
      </w:r>
      <w:r>
        <w:rPr>
          <w:rFonts w:hint="eastAsia"/>
          <w:color w:val="303030"/>
          <w:sz w:val="26"/>
          <w:szCs w:val="26"/>
        </w:rPr>
        <w:t xml:space="preserve"> 财政部门、主管部门、事业单位及其工作人员， 应当依法维护事业单位国有资产的安全完整，提高国有资产使用效益。</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第五十条</w:t>
      </w:r>
      <w:r>
        <w:rPr>
          <w:rFonts w:hint="eastAsia"/>
          <w:color w:val="303030"/>
          <w:sz w:val="26"/>
          <w:szCs w:val="26"/>
        </w:rPr>
        <w:t xml:space="preserve"> 财政部门、主管部门和事业单位应当建立健全科学合理的事业单位国有资产监督管理责任制，将资产监督、管理的责任落实到具体部门、单位和个人。</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第五十一条</w:t>
      </w:r>
      <w:r>
        <w:rPr>
          <w:rFonts w:hint="eastAsia"/>
          <w:color w:val="303030"/>
          <w:sz w:val="26"/>
          <w:szCs w:val="26"/>
        </w:rPr>
        <w:t xml:space="preserve"> 事业单位国有资产监督应当坚持单位内部监督与财政监督、审计监督、社会监督相结合，事前监督与事中监督、事后监督相结合，日常监督与专项检查相结合。</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第五十二条</w:t>
      </w:r>
      <w:r>
        <w:rPr>
          <w:rFonts w:hint="eastAsia"/>
          <w:color w:val="303030"/>
          <w:sz w:val="26"/>
          <w:szCs w:val="26"/>
        </w:rPr>
        <w:t xml:space="preserve"> 事业单位及其工作人员违反本办法，有下列行为之一的，依据《财政违法行为处罚处分条例》的规定进行处罚、处理、处分：</w:t>
      </w:r>
    </w:p>
    <w:p>
      <w:pPr>
        <w:pStyle w:val="6"/>
        <w:spacing w:line="400" w:lineRule="exact"/>
        <w:ind w:left="140" w:right="120" w:firstLine="520" w:firstLineChars="200"/>
        <w:jc w:val="left"/>
        <w:rPr>
          <w:color w:val="303030"/>
          <w:sz w:val="26"/>
          <w:szCs w:val="26"/>
        </w:rPr>
      </w:pPr>
      <w:r>
        <w:rPr>
          <w:rFonts w:hint="eastAsia"/>
          <w:color w:val="303030"/>
          <w:sz w:val="26"/>
          <w:szCs w:val="26"/>
        </w:rPr>
        <w:t>（一）以虚报、冒领等手段骗取财政资金的；</w:t>
      </w:r>
    </w:p>
    <w:p>
      <w:pPr>
        <w:pStyle w:val="6"/>
        <w:spacing w:line="400" w:lineRule="exact"/>
        <w:ind w:left="140" w:right="120" w:firstLine="520" w:firstLineChars="200"/>
        <w:jc w:val="left"/>
        <w:rPr>
          <w:color w:val="303030"/>
          <w:sz w:val="26"/>
          <w:szCs w:val="26"/>
        </w:rPr>
      </w:pPr>
      <w:r>
        <w:rPr>
          <w:rFonts w:hint="eastAsia"/>
          <w:color w:val="303030"/>
          <w:sz w:val="26"/>
          <w:szCs w:val="26"/>
        </w:rPr>
        <w:t>（二）擅自占有、使用和处置国有资产的；</w:t>
      </w:r>
    </w:p>
    <w:p>
      <w:pPr>
        <w:pStyle w:val="6"/>
        <w:spacing w:line="400" w:lineRule="exact"/>
        <w:ind w:left="140" w:right="120" w:firstLine="520" w:firstLineChars="200"/>
        <w:jc w:val="left"/>
        <w:rPr>
          <w:color w:val="303030"/>
          <w:sz w:val="26"/>
          <w:szCs w:val="26"/>
        </w:rPr>
      </w:pPr>
      <w:r>
        <w:rPr>
          <w:rFonts w:hint="eastAsia"/>
          <w:color w:val="303030"/>
          <w:sz w:val="26"/>
          <w:szCs w:val="26"/>
        </w:rPr>
        <w:t>（三）擅自提供担保的；</w:t>
      </w:r>
    </w:p>
    <w:p>
      <w:pPr>
        <w:pStyle w:val="6"/>
        <w:spacing w:line="400" w:lineRule="exact"/>
        <w:ind w:left="140" w:right="120" w:firstLine="520" w:firstLineChars="200"/>
        <w:jc w:val="left"/>
        <w:rPr>
          <w:color w:val="303030"/>
          <w:sz w:val="26"/>
          <w:szCs w:val="26"/>
        </w:rPr>
      </w:pPr>
      <w:r>
        <w:rPr>
          <w:rFonts w:hint="eastAsia"/>
          <w:color w:val="303030"/>
          <w:sz w:val="26"/>
          <w:szCs w:val="26"/>
        </w:rPr>
        <w:t>（四）通过串通作弊、暗箱操作等低价处置国有资产的；</w:t>
      </w:r>
    </w:p>
    <w:p>
      <w:pPr>
        <w:pStyle w:val="6"/>
        <w:spacing w:line="400" w:lineRule="exact"/>
        <w:ind w:left="140" w:right="120" w:firstLine="520" w:firstLineChars="200"/>
        <w:jc w:val="left"/>
        <w:rPr>
          <w:color w:val="303030"/>
          <w:sz w:val="26"/>
          <w:szCs w:val="26"/>
        </w:rPr>
      </w:pPr>
      <w:r>
        <w:rPr>
          <w:rFonts w:hint="eastAsia"/>
          <w:color w:val="303030"/>
          <w:sz w:val="26"/>
          <w:szCs w:val="26"/>
        </w:rPr>
        <w:t>（五）未按规定缴纳国有资产收益的。</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第五十三条</w:t>
      </w:r>
      <w:r>
        <w:rPr>
          <w:rFonts w:hint="eastAsia"/>
          <w:color w:val="303030"/>
          <w:sz w:val="26"/>
          <w:szCs w:val="26"/>
        </w:rPr>
        <w:t xml:space="preserve"> 各级财政部门、主管部门及其工作人员在事业单位国有资产配置、使用、处置等管理工作中，存在违反本办法规定的行为，以及其他滥用职权、玩忽职守、徇私舞弊等违法违纪行为的，依照《中华人民共和国公务员法》《中华人民共和国监察法》《财政违法行为处罚处分条例》等国家有关规定追究相应责任；涉嫌犯罪的，依法移送司法机关处理。</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第五十四条</w:t>
      </w:r>
      <w:r>
        <w:rPr>
          <w:rFonts w:hint="eastAsia"/>
          <w:color w:val="303030"/>
          <w:sz w:val="26"/>
          <w:szCs w:val="26"/>
        </w:rPr>
        <w:t xml:space="preserve"> 主管部门在配置事业单位国有资产或者审核、批准国有资产使用、处置事项的工作中违反本办法规定的，财政部门可以责令其限期改正，逾期不改的予以警告。</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第五十五条</w:t>
      </w:r>
      <w:r>
        <w:rPr>
          <w:rFonts w:hint="eastAsia"/>
          <w:color w:val="303030"/>
          <w:sz w:val="26"/>
          <w:szCs w:val="26"/>
        </w:rPr>
        <w:t xml:space="preserve"> 违反本办法有关事业单位国有资产管理规定的其他行为，依据国家有关法律、法规及规章制度进行处理。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第九章 附则</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第五十六条</w:t>
      </w:r>
      <w:r>
        <w:rPr>
          <w:rFonts w:hint="eastAsia"/>
          <w:color w:val="303030"/>
          <w:sz w:val="26"/>
          <w:szCs w:val="26"/>
        </w:rPr>
        <w:t xml:space="preserve"> 国家设立的研究开发机构、高等院校对其持有的科技成果，可以自主决定转让、许可或者作价投资，不需报主管部门、财政部门审批或者备案，并通过协议定价、在技术交易市场挂牌交易、拍卖等方式确定价格。通过协议定价的，应当在本单位公示科技成果名称和拟交易价格。</w:t>
      </w:r>
    </w:p>
    <w:p>
      <w:pPr>
        <w:pStyle w:val="6"/>
        <w:spacing w:line="400" w:lineRule="exact"/>
        <w:ind w:left="140" w:right="120" w:firstLine="520" w:firstLineChars="200"/>
        <w:jc w:val="left"/>
        <w:rPr>
          <w:color w:val="303030"/>
          <w:sz w:val="26"/>
          <w:szCs w:val="26"/>
        </w:rPr>
      </w:pPr>
      <w:r>
        <w:rPr>
          <w:rFonts w:hint="eastAsia"/>
          <w:color w:val="303030"/>
          <w:sz w:val="26"/>
          <w:szCs w:val="26"/>
        </w:rPr>
        <w:t>国家设立的研究开发机构、高等院校转化科技成果所获得的收入全部留归本单位。</w:t>
      </w:r>
    </w:p>
    <w:p>
      <w:pPr>
        <w:pStyle w:val="6"/>
        <w:spacing w:line="400" w:lineRule="exact"/>
        <w:ind w:left="140" w:right="120" w:firstLine="520" w:firstLineChars="200"/>
        <w:jc w:val="left"/>
        <w:rPr>
          <w:color w:val="303030"/>
          <w:sz w:val="26"/>
          <w:szCs w:val="26"/>
        </w:rPr>
      </w:pPr>
      <w:r>
        <w:rPr>
          <w:rFonts w:hint="eastAsia" w:ascii="楷体" w:hAnsi="楷体" w:eastAsia="楷体" w:cs="楷体"/>
          <w:color w:val="303030"/>
          <w:sz w:val="26"/>
          <w:szCs w:val="26"/>
        </w:rPr>
        <w:t>第五十七条</w:t>
      </w:r>
      <w:r>
        <w:rPr>
          <w:rFonts w:hint="eastAsia"/>
          <w:color w:val="303030"/>
          <w:sz w:val="26"/>
          <w:szCs w:val="26"/>
        </w:rPr>
        <w:t xml:space="preserve"> 社会团体和民办非企业单位中占有、使用国有资产的，参照本办法执行。参照公务员制度管理的事业单位和社会团体，依照国家关于行政单位国有资产管理的有关规定执行。</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第五十八条</w:t>
      </w:r>
      <w:r>
        <w:rPr>
          <w:rFonts w:hint="eastAsia"/>
          <w:color w:val="303030"/>
          <w:sz w:val="26"/>
          <w:szCs w:val="26"/>
        </w:rPr>
        <w:t xml:space="preserve"> 实行企业化管理并执行企业财务会计制度的事业单位，以及事业单位创办的具有法人资格的企业，由财政部门按照企业国有资产监督管理的有关规定实施监督管理。</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第五十九条</w:t>
      </w:r>
      <w:r>
        <w:rPr>
          <w:rFonts w:hint="eastAsia"/>
          <w:color w:val="303030"/>
          <w:sz w:val="26"/>
          <w:szCs w:val="26"/>
        </w:rPr>
        <w:t xml:space="preserve"> 地方财政部门制定的本地区和本级事业单位的国有资产管理规章制度，应当报上一级财政部门备案。</w:t>
      </w:r>
    </w:p>
    <w:p>
      <w:pPr>
        <w:pStyle w:val="6"/>
        <w:spacing w:line="400" w:lineRule="exact"/>
        <w:ind w:left="140" w:right="120" w:firstLine="520" w:firstLineChars="200"/>
        <w:jc w:val="left"/>
        <w:rPr>
          <w:color w:val="303030"/>
          <w:sz w:val="26"/>
          <w:szCs w:val="26"/>
        </w:rPr>
      </w:pPr>
      <w:r>
        <w:rPr>
          <w:rFonts w:hint="eastAsia"/>
          <w:color w:val="303030"/>
          <w:sz w:val="26"/>
          <w:szCs w:val="26"/>
        </w:rPr>
        <w:t>中央级事业单位的国有资产管理实施办法，由财政部会同有关部门根据本办法制定。</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 xml:space="preserve">第六十条 </w:t>
      </w:r>
      <w:r>
        <w:rPr>
          <w:rFonts w:hint="eastAsia"/>
          <w:color w:val="303030"/>
          <w:sz w:val="26"/>
          <w:szCs w:val="26"/>
        </w:rPr>
        <w:t>境外事业单位国有资产管理办法由财政部另行制定。中国人民解放军、武装警察部队以及经国家批准的特定事业单位的国有资产管理办法，由解放军总后勤部、武装警察部队和有关主管部门会同财政部另行制定。</w:t>
      </w:r>
    </w:p>
    <w:p>
      <w:pPr>
        <w:pStyle w:val="6"/>
        <w:spacing w:line="400" w:lineRule="exact"/>
        <w:ind w:left="140" w:right="120" w:firstLine="520" w:firstLineChars="200"/>
        <w:jc w:val="left"/>
        <w:rPr>
          <w:color w:val="303030"/>
          <w:sz w:val="26"/>
          <w:szCs w:val="26"/>
        </w:rPr>
      </w:pPr>
      <w:r>
        <w:rPr>
          <w:rFonts w:hint="eastAsia"/>
          <w:color w:val="303030"/>
          <w:sz w:val="26"/>
          <w:szCs w:val="26"/>
        </w:rPr>
        <w:t>行业特点突出，需要制定行业事业单位国有资产管理办法的，由财政部会同有关主管部门根据本办法制定。</w:t>
      </w:r>
    </w:p>
    <w:p>
      <w:pPr>
        <w:pStyle w:val="6"/>
        <w:spacing w:line="400" w:lineRule="exact"/>
        <w:ind w:left="140" w:right="120" w:firstLine="520" w:firstLineChars="200"/>
        <w:jc w:val="left"/>
        <w:rPr>
          <w:sz w:val="26"/>
          <w:szCs w:val="26"/>
        </w:rPr>
      </w:pPr>
      <w:r>
        <w:rPr>
          <w:rFonts w:hint="eastAsia" w:ascii="楷体" w:hAnsi="楷体" w:eastAsia="楷体" w:cs="楷体"/>
          <w:color w:val="303030"/>
          <w:sz w:val="26"/>
          <w:szCs w:val="26"/>
        </w:rPr>
        <w:t>第六十一条</w:t>
      </w:r>
      <w:r>
        <w:rPr>
          <w:rFonts w:hint="eastAsia"/>
          <w:color w:val="303030"/>
          <w:sz w:val="26"/>
          <w:szCs w:val="26"/>
        </w:rPr>
        <w:t xml:space="preserve"> 本办法中有关资产配置、处置事项的“规定限额”由省级以上财政部门另行确定。</w:t>
      </w:r>
    </w:p>
    <w:p>
      <w:pPr>
        <w:pStyle w:val="6"/>
        <w:spacing w:line="400" w:lineRule="exact"/>
        <w:ind w:left="140" w:right="120" w:firstLine="508" w:firstLineChars="200"/>
        <w:jc w:val="left"/>
        <w:rPr>
          <w:color w:val="303030"/>
          <w:sz w:val="26"/>
          <w:szCs w:val="26"/>
        </w:rPr>
      </w:pPr>
      <w:r>
        <w:rPr>
          <w:rFonts w:hint="eastAsia" w:ascii="楷体" w:hAnsi="楷体" w:eastAsia="楷体" w:cs="楷体"/>
          <w:color w:val="303030"/>
          <w:spacing w:val="-3"/>
          <w:sz w:val="26"/>
          <w:szCs w:val="26"/>
        </w:rPr>
        <w:t>第六十二条</w:t>
      </w:r>
      <w:r>
        <w:rPr>
          <w:rFonts w:hint="eastAsia"/>
          <w:color w:val="303030"/>
          <w:spacing w:val="-3"/>
          <w:sz w:val="26"/>
          <w:szCs w:val="26"/>
        </w:rPr>
        <w:t xml:space="preserve"> </w:t>
      </w:r>
      <w:r>
        <w:rPr>
          <w:rFonts w:hint="eastAsia"/>
          <w:color w:val="303030"/>
          <w:sz w:val="26"/>
          <w:szCs w:val="26"/>
        </w:rPr>
        <w:t>本办法自 2006 年 7 月 1 日起施行。此前颁布的有关事业单位国有资产管理的规定与本办法相抵触的，按照本办法执行。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br w:type="page"/>
      </w:r>
    </w:p>
    <w:p>
      <w:pPr>
        <w:pStyle w:val="12"/>
        <w:shd w:val="clear" w:color="auto" w:fill="FFFFFF"/>
        <w:spacing w:before="0" w:beforeAutospacing="0" w:after="0" w:afterAutospacing="0" w:line="400" w:lineRule="exact"/>
        <w:jc w:val="center"/>
        <w:rPr>
          <w:rFonts w:ascii="方正仿宋简体" w:eastAsia="方正仿宋简体"/>
          <w:color w:val="333333"/>
          <w:sz w:val="26"/>
          <w:szCs w:val="26"/>
        </w:rPr>
      </w:pPr>
      <w:r>
        <w:rPr>
          <w:rFonts w:hint="eastAsia" w:ascii="方正小标宋简体" w:eastAsia="方正小标宋简体"/>
          <w:b/>
          <w:bCs/>
          <w:color w:val="000000"/>
          <w:kern w:val="2"/>
          <w:sz w:val="32"/>
          <w:szCs w:val="32"/>
          <w:lang w:val="zh-CN"/>
        </w:rPr>
        <w:t>关于进一步加强和改进行政事业单位国有资产管理工作的通知</w:t>
      </w:r>
      <w:r>
        <w:rPr>
          <w:rFonts w:hint="eastAsia"/>
          <w:color w:val="333333"/>
        </w:rPr>
        <w:br w:type="textWrapping"/>
      </w:r>
      <w:r>
        <w:rPr>
          <w:rFonts w:hint="eastAsia" w:ascii="方正仿宋简体" w:hAnsi="楷体" w:eastAsia="方正仿宋简体"/>
          <w:color w:val="333333"/>
          <w:sz w:val="26"/>
          <w:szCs w:val="26"/>
        </w:rPr>
        <w:t>财资〔2018〕108号</w:t>
      </w:r>
    </w:p>
    <w:p>
      <w:pPr>
        <w:pStyle w:val="12"/>
        <w:shd w:val="clear" w:color="auto" w:fill="FFFFFF"/>
        <w:spacing w:before="0" w:beforeAutospacing="0" w:after="0" w:afterAutospacing="0" w:line="400" w:lineRule="exact"/>
        <w:rPr>
          <w:rFonts w:ascii="方正仿宋简体" w:eastAsia="方正仿宋简体"/>
          <w:color w:val="333333"/>
          <w:sz w:val="26"/>
          <w:szCs w:val="26"/>
        </w:rPr>
      </w:pPr>
      <w:r>
        <w:rPr>
          <w:rFonts w:hint="eastAsia" w:ascii="方正仿宋简体" w:eastAsia="方正仿宋简体"/>
          <w:color w:val="333333"/>
          <w:sz w:val="26"/>
          <w:szCs w:val="26"/>
        </w:rPr>
        <w:t>党中央有关部门，国务院各部委、各直属机构，全国人大常委会办公厅，全国政协办公厅，高法院，高检院，各民主党派中央，有关人民团体，各省、自治区、直辖市、计划单列市财政厅（局），新疆生产建设兵团财政局，有关中央管理企业：</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近年来，根据党中央、国务院要求，各地方、各部门和各行政事业单位高度重视行政事业性国有资产管理（以下简称资产管理）工作，构建了管理制度体系，规范了资产配置、使用、处置等各环节管理，夯实了资产年报、信息系统、产权管理等基础工作，有效提升了资产管理的质量和水平，保证了行政事业单位履职和事业发展需要。但是，通过资产年报会审、专题调研、日常管理和有关监督检查等，发现资产管理仍然存在一些较为突出的问题。为切实加强和改进资产管理，更好地保障行政单位有效运转和促进各项事业发展，提高资产使用效率，加快解决存在的问题，夯实2019年向全国人大常委会报告行政事业性国有资产管理情况基础，现就有关事项通知如下：</w:t>
      </w:r>
    </w:p>
    <w:p>
      <w:pPr>
        <w:pStyle w:val="12"/>
        <w:shd w:val="clear" w:color="auto" w:fill="FFFFFF"/>
        <w:spacing w:before="0" w:beforeAutospacing="0" w:after="0" w:afterAutospacing="0" w:line="400" w:lineRule="exact"/>
        <w:ind w:firstLine="480"/>
        <w:rPr>
          <w:rFonts w:ascii="楷体" w:hAnsi="楷体" w:eastAsia="楷体"/>
          <w:color w:val="333333"/>
          <w:sz w:val="26"/>
          <w:szCs w:val="26"/>
        </w:rPr>
      </w:pPr>
      <w:r>
        <w:rPr>
          <w:rFonts w:hint="eastAsia" w:ascii="楷体" w:hAnsi="楷体" w:eastAsia="楷体"/>
          <w:b/>
          <w:bCs/>
          <w:color w:val="333333"/>
          <w:sz w:val="26"/>
          <w:szCs w:val="26"/>
        </w:rPr>
        <w:t>一、部门和单位要切实承担起资产管理的主体责任</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各部门要切实履行好本部门国有资产的主体管理职责以及问题整改的主体责任，要把资产管理放在与资金管理同等重要位置，建立健全资产管理内部控制机制，强化职责分工、密切协调配合，形成管理合力。各单位要强化对资产管理的责任担当意识，切实加强组织领导，抓好具体管理。财政部门要加强对重大事项、重要项目安排和大额资金使用等涉及资产管理事项的指导和监督，并严格按照有关规定办理。</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二、加紧做好公共基础设施等资产登记入账和管理工作</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各单位要按照“谁承担管理维护职责由谁入账”的要求，将公共基础设施、保障性住房、政府储备物资、文物文化等资产分类登记入账，按照相关会计制度要求，进一步规范和加强各类资产的会计核算，做到账实相符，确保资产信息的全面、准确和完整。各部门要认真做好公共基础设施等行政事业性资产年度报告编报工作，在摸清底数的基础上，建立健全相关管理制度，加强资产全生命周期管理。财政部门要逐步理顺公共基础设施等行政事业性资产管理体制，加强顶层设计，组织部门和单位做好制度建设、会计核算和资产报告等工作，确保各项管理工作及时到位。</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三、探索建立共享共用和资产调剂机制</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强化资产配置与资产使用、处置的统筹管理，探索建立长期低效运转、闲置资产的共享共用和调剂机制。各部门要推动所属单位间的共享共用和资产调剂，切实盘活资产存量，提高资产使用效率。要坚决杜绝和纠正既有资产长期闲置，又另行租用同类资产的现象。财政部门要创造条件推动不同主管部门之间的共享共用和资产调剂。</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四、优化新增资产配置管理</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建立健全新增资产配置相关预算管理制度，优化新增资产配置相关预算编报审核机制，以存量制约增量，以增量调整存量，进一步提高资产配置的科学性与合理性。所有使用财政拨款收入和其他各类收入购置纳入新增资产配置相关预算范围的资产，都必须编制新增资产配置相关预算。要加大资产配置标准体系建设力度，为预算编审提供科学依据。对已经有资产配置标准的，要严格按照标准配置；对没有资产配置标准或暂未纳入新增资产配置相关预算编报审核范围的，要坚持厉行节约、反对浪费的原则，结合单位履职需要、存量资产状况和财力情况，在充分论证的基础上配置。</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五、严格控制资产出租出借和对外投资</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严格执行资产出租出借和对外投资管理的规定，履行相应的报批程序。严禁违规出租出借办公用房。出租房屋等资产原则上实行公开竞价招租。严禁违规出借资金给下属单位或关联单位使用。要规范对外投资管理，及时纳入财务账进行核算，不得将对外投资长期在往来款科目核算。</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六、规范资产处置管理</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各部门和各单位要严格执行有关资产处置管理的规定。要根据实际及时处置长期积压的待报废资产，避免形成新的资产损失。资产处置事项要按照规定权限履行报批程序。资产处置要遵循公开、公平和竞争择优的原则。处置完毕的资产要及时进行账务核销，确保账实相符。切实做好党和国家机构改革、行业协会商会脱钩、事业单位分类改革等重大改革中涉及的资产处置工作，确保国有资产安全完整。</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七、加强资产收入管理</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加强资产处置收入、出租出借收入和对外投资收益管理，规范收支行为。行政事业单位国有资产处置收入和行政单位资产出租出借收入，要按照政府非税收入管理和国库集中收缴制度的有关规定，在扣除相关税费后及时上缴国库，实行“收支两条线”管理。事业单位对外投资和出租出借收入，要纳入单位预算，统一核算、统一管理，严禁形成“账外账”和小金库。</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八、认真做好各项基础性工作</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及时完善各项规章制度，切实堵塞管理漏洞，夯实制度基础，并抓好制度的组织实施工作，提升制度约束力和执行力。各单位要准确完整登记资产卡片信息，确保“一卡一物”、不重不漏，定期清查盘点，及时处理资产盘盈、盘亏和资金挂账等事项。要加强流动资产、在建工程和无形资产管理，避免形成资金沉淀、在建工程长期不转固定资产、无形资产不纳入账内核算等问题。要建立和完善单位资产管理与财务管理部门之间的协同工作机制，及时对账，确保资产报表与会计账相关数据相一致。要及时办理土地、房屋构筑物等资产权属证书，避免权属不清晰和产权纠纷。</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九、抓紧落实资产管理机构和管理力量</w:t>
      </w:r>
    </w:p>
    <w:p>
      <w:pPr>
        <w:pStyle w:val="12"/>
        <w:shd w:val="clear" w:color="auto" w:fill="FFFFFF"/>
        <w:spacing w:before="0" w:beforeAutospacing="0" w:after="0" w:afterAutospacing="0" w:line="400" w:lineRule="exact"/>
        <w:ind w:firstLine="480"/>
        <w:rPr>
          <w:rFonts w:ascii="方正仿宋简体" w:eastAsia="方正仿宋简体"/>
          <w:color w:val="333333"/>
          <w:sz w:val="26"/>
          <w:szCs w:val="26"/>
        </w:rPr>
      </w:pPr>
      <w:r>
        <w:rPr>
          <w:rFonts w:hint="eastAsia" w:ascii="方正仿宋简体" w:eastAsia="方正仿宋简体"/>
          <w:color w:val="333333"/>
          <w:sz w:val="26"/>
          <w:szCs w:val="26"/>
        </w:rPr>
        <w:t>要按照政府向同级人大常委会报告国有资产管理情况的要求，明确工作任务，抓好贯彻落实，做好各项工作。要在现有机构编制条件下明确专门负责资产管理的机构和人员，明确资产管理各岗位的职责，建立岗位责任制。要将部门和单位切实承担资产管理的主体责任落到实处，资产管理机构和人员要加强资产使用和管理，切实负起责任。要进一步加强资产管理业务培训，搭建学习交流平台，提高资产管理干部队伍的素质和能力。</w:t>
      </w:r>
    </w:p>
    <w:p>
      <w:pPr>
        <w:pStyle w:val="12"/>
        <w:shd w:val="clear" w:color="auto" w:fill="FFFFFF"/>
        <w:spacing w:before="0" w:beforeAutospacing="0" w:after="0" w:afterAutospacing="0" w:line="400" w:lineRule="exact"/>
        <w:ind w:firstLine="480"/>
        <w:rPr>
          <w:rFonts w:ascii="楷体" w:hAnsi="楷体" w:eastAsia="楷体"/>
          <w:b/>
          <w:bCs/>
          <w:color w:val="333333"/>
          <w:sz w:val="26"/>
          <w:szCs w:val="26"/>
        </w:rPr>
      </w:pPr>
      <w:r>
        <w:rPr>
          <w:rFonts w:hint="eastAsia" w:ascii="楷体" w:hAnsi="楷体" w:eastAsia="楷体"/>
          <w:b/>
          <w:bCs/>
          <w:color w:val="333333"/>
          <w:sz w:val="26"/>
          <w:szCs w:val="26"/>
        </w:rPr>
        <w:t>十、严格抓好加强和改进资产管理的落实工作</w:t>
      </w:r>
    </w:p>
    <w:p>
      <w:pPr>
        <w:pStyle w:val="12"/>
        <w:shd w:val="clear" w:color="auto" w:fill="FFFFFF"/>
        <w:spacing w:before="0" w:beforeAutospacing="0" w:after="0" w:afterAutospacing="0" w:line="400" w:lineRule="exact"/>
        <w:ind w:firstLine="480"/>
        <w:rPr>
          <w:rFonts w:ascii="方正仿宋简体" w:hAnsi="方正仿宋简体" w:eastAsia="方正仿宋简体" w:cs="方正仿宋简体"/>
          <w:sz w:val="26"/>
          <w:szCs w:val="26"/>
        </w:rPr>
      </w:pPr>
      <w:r>
        <w:rPr>
          <w:rFonts w:hint="eastAsia" w:ascii="方正仿宋简体" w:eastAsia="方正仿宋简体"/>
          <w:color w:val="333333"/>
          <w:sz w:val="26"/>
          <w:szCs w:val="26"/>
        </w:rPr>
        <w:t>各部门和各单位要结合上述要求,对资产管理情况进行梳理和检查，并对货币资金占比较高、在建工程未转固定资产等问题进行重点检查。对存在问题的，要抓紧制定整改方案，限期做好整改工作，研究建立加强和改进资产管理的长效机制，避免出现新的问题。财政部门要会同各部门对各单位改进资产管理工作情况进行监督、指导。各单位要将改进资产管理工作情况纳入本单位2018年度资产报告，对货币资金占比较高、在建工程规模较大的要进行重点说明。各中央部门和地方财政部门要总结加强和改进资产管理的落实情况，随2018年度行政事业单位国有资产报告一并报财政部。</w:t>
      </w: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keepNext/>
        <w:keepLines/>
        <w:spacing w:beforeLines="100" w:line="400" w:lineRule="exact"/>
        <w:ind w:firstLine="520" w:firstLineChars="200"/>
        <w:jc w:val="left"/>
        <w:outlineLvl w:val="0"/>
        <w:rPr>
          <w:rFonts w:ascii="方正仿宋简体" w:hAnsi="方正仿宋简体" w:eastAsia="方正仿宋简体" w:cs="方正仿宋简体"/>
          <w:sz w:val="26"/>
          <w:szCs w:val="26"/>
        </w:rPr>
      </w:pPr>
    </w:p>
    <w:p>
      <w:pPr>
        <w:pStyle w:val="12"/>
        <w:shd w:val="clear" w:color="auto" w:fill="FFFFFF"/>
        <w:spacing w:before="0" w:beforeAutospacing="0" w:after="0" w:afterAutospacing="0" w:line="400" w:lineRule="exact"/>
        <w:jc w:val="center"/>
        <w:rPr>
          <w:rFonts w:ascii="方正小标宋简体" w:eastAsia="方正小标宋简体"/>
          <w:b/>
          <w:bCs/>
          <w:color w:val="000000"/>
          <w:kern w:val="2"/>
          <w:sz w:val="32"/>
          <w:szCs w:val="32"/>
          <w:lang w:val="zh-CN"/>
        </w:rPr>
      </w:pPr>
    </w:p>
    <w:p>
      <w:pPr>
        <w:pStyle w:val="12"/>
        <w:shd w:val="clear" w:color="auto" w:fill="FFFFFF"/>
        <w:spacing w:before="0" w:beforeAutospacing="0" w:after="0" w:afterAutospacing="0" w:line="400" w:lineRule="exact"/>
        <w:jc w:val="center"/>
        <w:rPr>
          <w:rFonts w:ascii="方正小标宋简体" w:eastAsia="方正小标宋简体"/>
          <w:b/>
          <w:bCs/>
          <w:color w:val="000000"/>
          <w:kern w:val="2"/>
          <w:sz w:val="32"/>
          <w:szCs w:val="32"/>
          <w:lang w:val="zh-CN"/>
        </w:rPr>
      </w:pPr>
    </w:p>
    <w:p>
      <w:pPr>
        <w:pStyle w:val="12"/>
        <w:shd w:val="clear" w:color="auto" w:fill="FFFFFF"/>
        <w:spacing w:before="0" w:beforeAutospacing="0" w:after="0" w:afterAutospacing="0" w:line="400" w:lineRule="exact"/>
        <w:jc w:val="center"/>
        <w:rPr>
          <w:rFonts w:ascii="方正小标宋简体" w:eastAsia="方正小标宋简体"/>
          <w:b/>
          <w:bCs/>
          <w:color w:val="000000"/>
          <w:kern w:val="2"/>
          <w:sz w:val="32"/>
          <w:szCs w:val="32"/>
          <w:lang w:val="zh-CN"/>
        </w:rPr>
      </w:pPr>
    </w:p>
    <w:p>
      <w:pPr>
        <w:pStyle w:val="12"/>
        <w:shd w:val="clear" w:color="auto" w:fill="FFFFFF"/>
        <w:spacing w:before="0" w:beforeAutospacing="0" w:after="0" w:afterAutospacing="0" w:line="400" w:lineRule="exact"/>
        <w:jc w:val="center"/>
        <w:rPr>
          <w:rFonts w:ascii="方正小标宋简体" w:eastAsia="方正小标宋简体"/>
          <w:b/>
          <w:bCs/>
          <w:color w:val="000000"/>
          <w:kern w:val="2"/>
          <w:sz w:val="32"/>
          <w:szCs w:val="32"/>
          <w:lang w:val="zh-CN"/>
        </w:rPr>
      </w:pPr>
      <w:r>
        <w:rPr>
          <w:rFonts w:hint="eastAsia" w:ascii="方正小标宋简体" w:eastAsia="方正小标宋简体"/>
          <w:b/>
          <w:bCs/>
          <w:color w:val="000000"/>
          <w:kern w:val="2"/>
          <w:sz w:val="32"/>
          <w:szCs w:val="32"/>
          <w:lang w:val="zh-CN"/>
        </w:rPr>
        <w:t>山东省财政厅文件</w:t>
      </w:r>
    </w:p>
    <w:p>
      <w:pPr>
        <w:pStyle w:val="23"/>
        <w:pBdr>
          <w:bottom w:val="single" w:color="auto" w:sz="4" w:space="0"/>
        </w:pBdr>
        <w:spacing w:after="320" w:line="400" w:lineRule="exact"/>
        <w:ind w:firstLine="0"/>
        <w:jc w:val="center"/>
        <w:rPr>
          <w:rFonts w:ascii="方正仿宋简体" w:hAnsi="方正仿宋简体" w:eastAsia="方正仿宋简体" w:cs="方正仿宋简体"/>
          <w:spacing w:val="-22"/>
        </w:rPr>
      </w:pPr>
      <w:r>
        <w:rPr>
          <w:rFonts w:hint="eastAsia" w:ascii="方正仿宋简体" w:hAnsi="方正仿宋简体" w:eastAsia="方正仿宋简体" w:cs="方正仿宋简体"/>
          <w:spacing w:val="-22"/>
        </w:rPr>
        <w:t>鲁财资〔2019〕9号</w:t>
      </w:r>
    </w:p>
    <w:p>
      <w:pPr>
        <w:pStyle w:val="24"/>
        <w:keepNext/>
        <w:keepLines/>
        <w:spacing w:after="0" w:line="400" w:lineRule="exact"/>
        <w:rPr>
          <w:rFonts w:ascii="黑体" w:hAnsi="黑体" w:eastAsia="黑体" w:cs="方正仿宋简体"/>
          <w:sz w:val="26"/>
          <w:szCs w:val="26"/>
        </w:rPr>
      </w:pPr>
      <w:r>
        <w:rPr>
          <w:rFonts w:hint="eastAsia" w:ascii="黑体" w:hAnsi="黑体" w:eastAsia="黑体" w:cs="方正仿宋简体"/>
          <w:sz w:val="26"/>
          <w:szCs w:val="26"/>
        </w:rPr>
        <w:t>转发《财政部关于进一步加强和改进行政事业单位国有资产管理工作的通知》的通知</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各市财政局，黄河三角洲农业高新技术产业示范区财政金融局，省直各部门、单位：</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现将《财政部关于进一步加强和改进行政事业单位国有资产管理工作的通知》（财资〔2018〕108号，以下简称《通知》）转发给你们，并结合我省实际提出以下意见，请一并贯彻执行。</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方正仿宋简体"/>
        </w:rPr>
        <w:t>一、夯实基础数据，努力提高国有资产报告编报质量。</w:t>
      </w:r>
      <w:r>
        <w:rPr>
          <w:rFonts w:hint="eastAsia" w:ascii="方正仿宋简体" w:hAnsi="方正仿宋简体" w:eastAsia="方正仿宋简体" w:cs="方正仿宋简体"/>
        </w:rPr>
        <w:t>各级行政事业单位要根据新的政府会计制度，扎实做好资产数据核实调整工作；要按照行政事业单位资产管理要求，对本部门、单位资产进行一次全面清查，对资产卡片信息进行调整完善，确保一卡一物、不重不漏、信息完整准确；要积极清理资产盘亏、盘盈和资金挂账等事项，符合规定条件的尽快处理，同时防止发生新的盘亏、盘盈和资金挂账事项发生，为圆满完成2019年向人大报告行政事业性国有资产管理情况工作夯实基础。</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方正仿宋简体"/>
        </w:rPr>
        <w:t>二、推动资产绩效管理，切实提高资产使用效益。</w:t>
      </w:r>
      <w:r>
        <w:rPr>
          <w:rFonts w:hint="eastAsia" w:ascii="方正仿宋简体" w:hAnsi="方正仿宋简体" w:eastAsia="方正仿宋简体" w:cs="方正仿宋简体"/>
        </w:rPr>
        <w:t>按照全面实施绩效管理的要求，积极推进行政事业单位国有资产管理绩效评价工作，着力提高资产利用效率。要加强资产配置标准体系建设，在制定通用资产配置标准的基础上，加快研究出台专用资产配置标准，为建立资产配置预算打好基础。今后，各部门、单位新增资产应严格按照配置标准编制资产配置预算，没有资产配置标准的，应统筹考虑存量和财力，以存量制约增量，以增量调剂存量，提高资产配置的科学性和合理性。要积极探索建立长期低效运转、闲置资产的共享共用和调剂机制，切实盘活资产存量，着力提高资产使用效益。</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方正仿宋简体"/>
        </w:rPr>
        <w:t>三、优化管理机制，全面落实部门单位资产管理的主体责任。</w:t>
      </w:r>
      <w:r>
        <w:rPr>
          <w:rFonts w:hint="eastAsia" w:ascii="方正仿宋简体" w:hAnsi="方正仿宋简体" w:eastAsia="方正仿宋简体" w:cs="方正仿宋简体"/>
        </w:rPr>
        <w:t>为深入贯彻中央和省“放管服”改革精神，省财政厅下放了部分省级国有资产处置审批权限，省直各部门、单位要切实履行好本部门单位国有资产的主体管理职责，建立健全资产管理内部控制机制，规范管理程序，认真履行好审批责任，及时反馈审批情况。</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drawing>
          <wp:anchor distT="0" distB="0" distL="114300" distR="114300" simplePos="0" relativeHeight="251685888" behindDoc="0" locked="0" layoutInCell="1" allowOverlap="1">
            <wp:simplePos x="0" y="0"/>
            <wp:positionH relativeFrom="column">
              <wp:posOffset>3690620</wp:posOffset>
            </wp:positionH>
            <wp:positionV relativeFrom="paragraph">
              <wp:posOffset>303530</wp:posOffset>
            </wp:positionV>
            <wp:extent cx="1548130" cy="1543685"/>
            <wp:effectExtent l="19050" t="0" r="0" b="0"/>
            <wp:wrapNone/>
            <wp:docPr id="4"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wps1"/>
                    <pic:cNvPicPr>
                      <a:picLocks noChangeAspect="1"/>
                    </pic:cNvPicPr>
                  </pic:nvPicPr>
                  <pic:blipFill>
                    <a:blip r:embed="rId12" cstate="print"/>
                    <a:stretch>
                      <a:fillRect/>
                    </a:stretch>
                  </pic:blipFill>
                  <pic:spPr>
                    <a:xfrm>
                      <a:off x="0" y="0"/>
                      <a:ext cx="1548130" cy="1543685"/>
                    </a:xfrm>
                    <a:prstGeom prst="rect">
                      <a:avLst/>
                    </a:prstGeom>
                    <a:noFill/>
                    <a:ln>
                      <a:noFill/>
                    </a:ln>
                  </pic:spPr>
                </pic:pic>
              </a:graphicData>
            </a:graphic>
          </wp:anchor>
        </w:drawing>
      </w:r>
      <w:r>
        <w:rPr>
          <w:rFonts w:hint="eastAsia" w:ascii="方正仿宋简体" w:hAnsi="方正仿宋简体" w:eastAsia="方正仿宋简体" w:cs="方正仿宋简体"/>
        </w:rPr>
        <w:t>附件：财政部关于进一步加强和改进行政事业单位国有资产管理工作的通知（财资〔2018〕108号）</w:t>
      </w:r>
    </w:p>
    <w:p>
      <w:pPr>
        <w:pStyle w:val="23"/>
        <w:spacing w:line="400" w:lineRule="exact"/>
        <w:ind w:firstLine="520" w:firstLineChars="200"/>
        <w:rPr>
          <w:rFonts w:ascii="方正仿宋简体" w:hAnsi="方正仿宋简体" w:eastAsia="方正仿宋简体" w:cs="方正仿宋简体"/>
        </w:rPr>
      </w:pPr>
    </w:p>
    <w:p>
      <w:pPr>
        <w:spacing w:line="400" w:lineRule="exact"/>
        <w:ind w:firstLine="640" w:firstLineChars="200"/>
        <w:jc w:val="center"/>
        <w:rPr>
          <w:rFonts w:ascii="方正小标宋简体" w:hAnsi="宋体" w:eastAsia="方正小标宋简体" w:cs="宋体"/>
          <w:b/>
          <w:bCs/>
          <w:color w:val="000000"/>
          <w:sz w:val="32"/>
          <w:szCs w:val="32"/>
          <w:lang w:val="zh-CN"/>
        </w:rPr>
      </w:pPr>
    </w:p>
    <w:p>
      <w:pPr>
        <w:spacing w:line="400" w:lineRule="exact"/>
        <w:ind w:firstLine="640" w:firstLineChars="200"/>
        <w:jc w:val="center"/>
        <w:rPr>
          <w:rFonts w:ascii="方正小标宋简体" w:hAnsi="宋体" w:eastAsia="方正小标宋简体" w:cs="宋体"/>
          <w:b/>
          <w:bCs/>
          <w:color w:val="000000"/>
          <w:sz w:val="32"/>
          <w:szCs w:val="32"/>
          <w:lang w:val="zh-CN"/>
        </w:rPr>
      </w:pPr>
    </w:p>
    <w:p>
      <w:pPr>
        <w:spacing w:line="400" w:lineRule="exact"/>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关于加强行政事业单位固定资产管理的通知</w:t>
      </w:r>
    </w:p>
    <w:p>
      <w:pPr>
        <w:autoSpaceDE w:val="0"/>
        <w:autoSpaceDN w:val="0"/>
        <w:spacing w:line="400" w:lineRule="exact"/>
        <w:ind w:firstLine="520" w:firstLineChars="200"/>
        <w:jc w:val="left"/>
        <w:rPr>
          <w:rFonts w:ascii="方正仿宋简体" w:hAnsi="方正仿宋简体" w:eastAsia="方正仿宋简体" w:cs="方正仿宋简体"/>
          <w:b/>
          <w:sz w:val="26"/>
          <w:szCs w:val="26"/>
          <w:lang w:val="zh-CN" w:bidi="zh-CN"/>
        </w:rPr>
      </w:pPr>
    </w:p>
    <w:p>
      <w:pPr>
        <w:autoSpaceDE w:val="0"/>
        <w:autoSpaceDN w:val="0"/>
        <w:spacing w:line="400" w:lineRule="exact"/>
        <w:ind w:right="158" w:firstLine="520" w:firstLineChars="200"/>
        <w:jc w:val="center"/>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color w:val="303030"/>
          <w:kern w:val="0"/>
          <w:sz w:val="26"/>
          <w:szCs w:val="26"/>
          <w:lang w:val="zh-CN" w:bidi="zh-CN"/>
        </w:rPr>
        <w:t>财资〔2020〕97 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党中央有关部门，国务院各部委、各直属机构，全国人大常委会办公厅，全国政协办公厅，最高人民法院，最高人民检察院，各民主党派中央，有关人民团体，各省、自治区、直辖市、计划单列市财政厅（局），新疆生产建设兵团财政局，有关中央管理企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行政事业单位固定资产（以下简称固定资产）是行政事业单位为满足自身开展业务活动或其他活动需要而控制的，使用年限和单位价值在规定标准以上，并在使用过程中基本保持原有物质形态的资产，包括房屋及构筑物，专用设备，通用设备，文物和陈列品，图书、档案，家具、用具、装具及动植物等。做好固定资产管理工作，对于提升行政事业单位国有资产管理整体水平、更好地服务与保障单位履职和事业发展，具有重要意义。为贯彻落实党中央、国务院关于“过紧日子”的要求，有效盘活并高效使用固定资产，有针对性地解决固定资产管理中存在的突出问题，现就加强固定资产管理有关事项通知如下：</w:t>
      </w:r>
    </w:p>
    <w:p>
      <w:pPr>
        <w:autoSpaceDE w:val="0"/>
        <w:autoSpaceDN w:val="0"/>
        <w:spacing w:line="400" w:lineRule="exact"/>
        <w:ind w:firstLine="520" w:firstLineChars="200"/>
        <w:jc w:val="left"/>
        <w:rPr>
          <w:rFonts w:ascii="黑体" w:hAnsi="黑体" w:eastAsia="黑体" w:cs="方正仿宋简体"/>
          <w:bCs/>
          <w:iCs/>
          <w:kern w:val="0"/>
          <w:sz w:val="26"/>
          <w:szCs w:val="26"/>
          <w:lang w:val="zh-CN" w:bidi="zh-CN"/>
        </w:rPr>
      </w:pPr>
      <w:r>
        <w:rPr>
          <w:rFonts w:hint="eastAsia" w:ascii="黑体" w:hAnsi="黑体" w:eastAsia="黑体" w:cs="方正仿宋简体"/>
          <w:bCs/>
          <w:iCs/>
          <w:kern w:val="0"/>
          <w:sz w:val="26"/>
          <w:szCs w:val="26"/>
          <w:lang w:val="zh-CN" w:bidi="zh-CN"/>
        </w:rPr>
        <w:t>一、落实管理责任，健全管理制度</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（一）明晰责任。</w:t>
      </w:r>
      <w:r>
        <w:rPr>
          <w:rFonts w:hint="eastAsia" w:ascii="方正仿宋简体" w:hAnsi="方正仿宋简体" w:eastAsia="方正仿宋简体" w:cs="方正仿宋简体"/>
          <w:bCs/>
          <w:iCs/>
          <w:kern w:val="0"/>
          <w:sz w:val="26"/>
          <w:szCs w:val="26"/>
          <w:lang w:val="zh-CN" w:bidi="zh-CN"/>
        </w:rPr>
        <w:t>各级财政部门要强化和落实综合管理职责，加强固定资产管理顶层设计，明确固定资产管理要求。各部门要切实履行固定资产监督管理职责，建立健全固定资产管理机制，组织落实固定资产管理各项工作。各单位对固定资产管理承担主体责任，并将责任落实到人。固定资产使用人员要切实负起责任，爱护和使用好固定资产，确保固定资产安全完整，高效利用。</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（二）健全制度。</w:t>
      </w:r>
      <w:r>
        <w:rPr>
          <w:rFonts w:hint="eastAsia" w:ascii="方正仿宋简体" w:hAnsi="方正仿宋简体" w:eastAsia="方正仿宋简体" w:cs="方正仿宋简体"/>
          <w:bCs/>
          <w:iCs/>
          <w:kern w:val="0"/>
          <w:sz w:val="26"/>
          <w:szCs w:val="26"/>
          <w:lang w:val="zh-CN" w:bidi="zh-CN"/>
        </w:rPr>
        <w:t>各部门应根据工作需要和实际情况，建立健全固定资产管理实施办法或分类制定固定资产管理规定，进一步细化管理要求。各单位应认真对照管理要求，针对固定资产验收登记、核算入账、领用移交、维修保管、清查盘点、出租出借、对外投资、回收处置、绩效管理等重点环节，查漏补缺，明确操作规程，确保流程清晰、管理规范、责任可查。</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（三）加强内控。</w:t>
      </w:r>
      <w:r>
        <w:rPr>
          <w:rFonts w:hint="eastAsia" w:ascii="方正仿宋简体" w:hAnsi="方正仿宋简体" w:eastAsia="方正仿宋简体" w:cs="方正仿宋简体"/>
          <w:bCs/>
          <w:iCs/>
          <w:kern w:val="0"/>
          <w:sz w:val="26"/>
          <w:szCs w:val="26"/>
          <w:lang w:val="zh-CN" w:bidi="zh-CN"/>
        </w:rPr>
        <w:t>各部门、各单位应当根据《行政事业单位内部控制规范（试行）》等规定，强化固定资产配置、使用、处置等关键环节的管控。加强固定资产管理部门与政府采购、财务、人事等部门的沟通协作，形成管理合力。</w:t>
      </w:r>
    </w:p>
    <w:p>
      <w:pPr>
        <w:autoSpaceDE w:val="0"/>
        <w:autoSpaceDN w:val="0"/>
        <w:spacing w:line="400" w:lineRule="exact"/>
        <w:ind w:firstLine="520" w:firstLineChars="200"/>
        <w:jc w:val="left"/>
        <w:rPr>
          <w:rFonts w:ascii="黑体" w:hAnsi="黑体" w:eastAsia="黑体" w:cs="方正仿宋简体"/>
          <w:bCs/>
          <w:iCs/>
          <w:kern w:val="0"/>
          <w:sz w:val="26"/>
          <w:szCs w:val="26"/>
          <w:lang w:val="zh-CN" w:bidi="zh-CN"/>
        </w:rPr>
      </w:pPr>
      <w:r>
        <w:rPr>
          <w:rFonts w:hint="eastAsia" w:ascii="黑体" w:hAnsi="黑体" w:eastAsia="黑体" w:cs="方正仿宋简体"/>
          <w:bCs/>
          <w:iCs/>
          <w:kern w:val="0"/>
          <w:sz w:val="26"/>
          <w:szCs w:val="26"/>
          <w:lang w:val="zh-CN" w:bidi="zh-CN"/>
        </w:rPr>
        <w:t>二、加强基础管理，确保家底清晰</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（四）核算入账。</w:t>
      </w:r>
      <w:r>
        <w:rPr>
          <w:rFonts w:hint="eastAsia" w:ascii="方正仿宋简体" w:hAnsi="方正仿宋简体" w:eastAsia="方正仿宋简体" w:cs="方正仿宋简体"/>
          <w:bCs/>
          <w:iCs/>
          <w:kern w:val="0"/>
          <w:sz w:val="26"/>
          <w:szCs w:val="26"/>
          <w:lang w:val="zh-CN" w:bidi="zh-CN"/>
        </w:rPr>
        <w:t>各单位要严格落实政府会计准则制度等要求，按规定设置固定资产账簿，对固定资产增减变动及时进行会计处理，并定期与固定资产卡片进行核对，确保账卡相符。对已投入使用但尚未办理竣工决算的在建工程，应当按规定及时转入固定资产。</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（五）登记管理。</w:t>
      </w:r>
      <w:r>
        <w:rPr>
          <w:rFonts w:hint="eastAsia" w:ascii="方正仿宋简体" w:hAnsi="方正仿宋简体" w:eastAsia="方正仿宋简体" w:cs="方正仿宋简体"/>
          <w:bCs/>
          <w:iCs/>
          <w:kern w:val="0"/>
          <w:sz w:val="26"/>
          <w:szCs w:val="26"/>
          <w:lang w:val="zh-CN" w:bidi="zh-CN"/>
        </w:rPr>
        <w:t>加强固定资产卡片管理，做到有物必登、登记到人、一物一卡、不重不漏。对于权证手续不全、但长期占有使用并实际控制的固定资产，应当建立并登记固定资产卡片；对于租入固定资产，应当单独登记备查，并做好维护和管理。固定资产卡片应当符合规定格式，载明固定资产基本信息、</w:t>
      </w:r>
      <w:r>
        <w:rPr>
          <w:rFonts w:ascii="方正仿宋简体" w:hAnsi="方正仿宋简体" w:eastAsia="方正仿宋简体" w:cs="方正仿宋简体"/>
          <w:bCs/>
          <w:iCs/>
          <w:kern w:val="0"/>
          <w:sz w:val="26"/>
          <w:szCs w:val="26"/>
          <w:lang w:val="zh-CN" w:bidi="zh-CN"/>
        </w:rPr>
        <w:pict>
          <v:shape id="_x0000_s1042" o:spid="_x0000_s1042" o:spt="100" style="position:absolute;left:0pt;margin-left:88.55pt;margin-top:99.95pt;height:644.05pt;width:418.2pt;mso-position-horizontal-relative:page;mso-position-vertical-relative:page;z-index:-251654144;mso-width-relative:page;mso-height-relative:page;" stroked="f" coordsize="8364,12881" o:gfxdata="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J7Kt+LbAAAADQEAAA8AAAAAAAAAAQAgAAAA&#10;IgAAAGRycy9kb3ducmV2LnhtbFBLAQIUABQAAAAIAIdO4kCWaABfXgMAAIANAAAOAAAAAAAAAAEA&#10;IAAAACoBAABkcnMvZTJvRG9jLnhtbFBLBQYAAAAABgAGAFkBAAD6BgAAAAA=&#10;" adj=",," path="m8364,11760l0,11760,0,12322,0,12881,8364,12881,8364,12322,8364,11760m8364,10080l0,10080,0,10642,0,11201,0,11760,8364,11760,8364,11201,8364,10642,8364,10080m8364,7841l0,7841,0,8400,0,8962,0,9521,0,10080,8364,10080,8364,9521,8364,8962,8364,8400,8364,7841m8364,6161l0,6161,0,6720,0,7282,0,7841,8364,7841,8364,7282,8364,6720,8364,6161m8364,0l0,0,0,562,0,1121,0,1680,0,2242,0,2801,0,3360,0,3922,0,4481,0,5040,0,5602,0,6161,8364,6161,8364,5602,8364,5040,8364,4481,8364,3922,8364,3360,8364,2801,8364,2242,8364,1680,8364,1121,8364,562,8364,0e">
            <v:path o:connecttype="segments"/>
            <v:fill focussize="0,0"/>
            <v:stroke on="f" joinstyle="round"/>
            <v:imagedata o:title=""/>
            <o:lock v:ext="edit"/>
          </v:shape>
        </w:pict>
      </w:r>
      <w:r>
        <w:rPr>
          <w:rFonts w:hint="eastAsia" w:ascii="方正仿宋简体" w:hAnsi="方正仿宋简体" w:eastAsia="方正仿宋简体" w:cs="方正仿宋简体"/>
          <w:bCs/>
          <w:iCs/>
          <w:kern w:val="0"/>
          <w:sz w:val="26"/>
          <w:szCs w:val="26"/>
          <w:lang w:val="zh-CN" w:bidi="zh-CN"/>
        </w:rPr>
        <w:t>财务信息以及使用信息，并随资产全生命周期管理动态更新，在行政事业单位国有资产年度报告中如实反映。</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（六）清查盘点。</w:t>
      </w:r>
      <w:r>
        <w:rPr>
          <w:rFonts w:hint="eastAsia" w:ascii="方正仿宋简体" w:hAnsi="方正仿宋简体" w:eastAsia="方正仿宋简体" w:cs="方正仿宋简体"/>
          <w:bCs/>
          <w:iCs/>
          <w:kern w:val="0"/>
          <w:sz w:val="26"/>
          <w:szCs w:val="26"/>
          <w:lang w:val="zh-CN" w:bidi="zh-CN"/>
        </w:rPr>
        <w:t>定期对固定资产进行清查盘点，每年至少盘点一次，全面掌握并真实反映固定资产的数量、价值和使用状况，确保账账相符、账实相符。盘盈固定资产，应当按照政府会计准则制度等规定合理确定资产价值，按权限报批后登记入账。出现固定资产盘亏，应当查明原因、及时规范处理。</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（七）权属管理。</w:t>
      </w:r>
      <w:r>
        <w:rPr>
          <w:rFonts w:hint="eastAsia" w:ascii="方正仿宋简体" w:hAnsi="方正仿宋简体" w:eastAsia="方正仿宋简体" w:cs="方正仿宋简体"/>
          <w:bCs/>
          <w:iCs/>
          <w:kern w:val="0"/>
          <w:sz w:val="26"/>
          <w:szCs w:val="26"/>
          <w:lang w:val="zh-CN" w:bidi="zh-CN"/>
        </w:rPr>
        <w:t>切实做好固定资产产权管理，及时办理土地、房屋、车辆等固定资产权属证书，资产变动应办理权证变更登记，避免权属不清。涉及产权纠纷或不清晰的固定资产，应按照产权管理规定，厘清产权关系。</w:t>
      </w:r>
    </w:p>
    <w:p>
      <w:pPr>
        <w:autoSpaceDE w:val="0"/>
        <w:autoSpaceDN w:val="0"/>
        <w:spacing w:line="400" w:lineRule="exact"/>
        <w:ind w:firstLine="520" w:firstLineChars="200"/>
        <w:jc w:val="left"/>
        <w:rPr>
          <w:rFonts w:ascii="黑体" w:hAnsi="黑体" w:eastAsia="黑体" w:cs="方正仿宋简体"/>
          <w:bCs/>
          <w:iCs/>
          <w:kern w:val="0"/>
          <w:sz w:val="26"/>
          <w:szCs w:val="26"/>
          <w:lang w:val="zh-CN" w:bidi="zh-CN"/>
        </w:rPr>
      </w:pPr>
      <w:r>
        <w:rPr>
          <w:rFonts w:hint="eastAsia" w:ascii="黑体" w:hAnsi="黑体" w:eastAsia="黑体" w:cs="方正仿宋简体"/>
          <w:bCs/>
          <w:iCs/>
          <w:kern w:val="0"/>
          <w:sz w:val="26"/>
          <w:szCs w:val="26"/>
          <w:lang w:val="zh-CN" w:bidi="zh-CN"/>
        </w:rPr>
        <w:t>三、规范管理行为，提升管理效能</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（八）从严配置。</w:t>
      </w:r>
      <w:r>
        <w:rPr>
          <w:rFonts w:hint="eastAsia" w:ascii="方正仿宋简体" w:hAnsi="方正仿宋简体" w:eastAsia="方正仿宋简体" w:cs="方正仿宋简体"/>
          <w:bCs/>
          <w:iCs/>
          <w:kern w:val="0"/>
          <w:sz w:val="26"/>
          <w:szCs w:val="26"/>
          <w:lang w:val="zh-CN" w:bidi="zh-CN"/>
        </w:rPr>
        <w:t>各部门、各单位要真正落实“过紧日子”要求，在摸清固定资产存量基础上，合理提出配置需求，审核 部门要严格把关，从严控制。固定资产配置能通过调剂、收回出租出借等方式解决的，原则上不得重新购置、建设、租用。购置、建设、租用固定资产的，应当严格执行政府采购等法律 法规，并做好政府采购等履约验收与固定资产入账的衔接。严格按规定标准配置固定资产，没有配置标准的，结合本单位履职需要和事业发展需求，厉行节约，合理配备。固定资产原则上不得一边出租出借、一边新增配置。</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（九）规范使用。</w:t>
      </w:r>
      <w:r>
        <w:rPr>
          <w:rFonts w:hint="eastAsia" w:ascii="方正仿宋简体" w:hAnsi="方正仿宋简体" w:eastAsia="方正仿宋简体" w:cs="方正仿宋简体"/>
          <w:bCs/>
          <w:iCs/>
          <w:kern w:val="0"/>
          <w:sz w:val="26"/>
          <w:szCs w:val="26"/>
          <w:lang w:val="zh-CN" w:bidi="zh-CN"/>
        </w:rPr>
        <w:t>要加强固定资产使用管理，行政单位固定资产主要保障机关正常运转，事业单位固定资产主要支撑事业发展，行政单位和事业单位原则上不得互相占用固定资产，</w:t>
      </w:r>
      <w:r>
        <w:rPr>
          <w:rFonts w:ascii="方正仿宋简体" w:hAnsi="方正仿宋简体" w:eastAsia="方正仿宋简体" w:cs="方正仿宋简体"/>
          <w:bCs/>
          <w:iCs/>
          <w:kern w:val="0"/>
          <w:sz w:val="26"/>
          <w:szCs w:val="26"/>
          <w:lang w:val="zh-CN" w:bidi="zh-CN"/>
        </w:rPr>
        <w:pict>
          <v:shape id="_x0000_s1041" o:spid="_x0000_s1041" o:spt="100" style="position:absolute;left:0pt;margin-left:88.55pt;margin-top:99.95pt;height:644.05pt;width:418.2pt;mso-position-horizontal-relative:page;mso-position-vertical-relative:page;z-index:-251653120;mso-width-relative:page;mso-height-relative:page;" stroked="f" coordsize="8364,12881" o:gfxdata="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eyrfi2wAAAA0BAAAPAAAAAAAAAAEAIAAA&#10;ACIAAABkcnMvZG93bnJldi54bWxQSwECFAAUAAAACACHTuJAKfES8l8DAACADQAADgAAAAAAAAAB&#10;ACAAAAAqAQAAZHJzL2Uyb0RvYy54bWxQSwUGAAAAAAYABgBZAQAA+wYAAAAA&#10;" adj=",," path="m8364,11760l0,11760,0,12322,0,12881,8364,12881,8364,12322,8364,11760m8364,10080l0,10080,0,10642,0,11201,0,11760,8364,11760,8364,11201,8364,10642,8364,10080m8364,7841l0,7841,0,8400,0,8962,0,9521,0,10080,8364,10080,8364,9521,8364,8962,8364,8400,8364,7841m8364,6161l0,6161,0,6720,0,7282,0,7841,8364,7841,8364,7282,8364,6720,8364,6161m8364,0l0,0,0,562,0,1121,0,1680,0,2242,0,2801,0,3360,0,3922,0,4481,0,5040,0,5602,0,6161,8364,6161,8364,5602,8364,5040,8364,4481,8364,3922,8364,3360,8364,2801,8364,2242,8364,1680,8364,1121,8364,562,8364,0e">
            <v:path o:connecttype="segments"/>
            <v:fill focussize="0,0"/>
            <v:stroke on="f" joinstyle="round"/>
            <v:imagedata o:title=""/>
            <o:lock v:ext="edit"/>
          </v:shape>
        </w:pict>
      </w:r>
      <w:r>
        <w:rPr>
          <w:rFonts w:hint="eastAsia" w:ascii="方正仿宋简体" w:hAnsi="方正仿宋简体" w:eastAsia="方正仿宋简体" w:cs="方正仿宋简体"/>
          <w:bCs/>
          <w:iCs/>
          <w:kern w:val="0"/>
          <w:sz w:val="26"/>
          <w:szCs w:val="26"/>
          <w:lang w:val="zh-CN" w:bidi="zh-CN"/>
        </w:rPr>
        <w:t>确保固定资产功能与单位职能相匹配。固定资产出租出借、对外投资要严格履行管理程序。落实固定资产内部领用和离岗归还制度，领用人要合理使用、妥善保管，出现损坏及时报修，避免闲置浪费或是公物私用。发生岗位变动应当按规定及时办理资产移交，移交或归还后方可办理相关手续。</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（十）调剂共享。</w:t>
      </w:r>
      <w:r>
        <w:rPr>
          <w:rFonts w:hint="eastAsia" w:ascii="方正仿宋简体" w:hAnsi="方正仿宋简体" w:eastAsia="方正仿宋简体" w:cs="方正仿宋简体"/>
          <w:bCs/>
          <w:iCs/>
          <w:kern w:val="0"/>
          <w:sz w:val="26"/>
          <w:szCs w:val="26"/>
          <w:lang w:val="zh-CN" w:bidi="zh-CN"/>
        </w:rPr>
        <w:t>积极推进固定资产在单位内部调剂共享，鼓励跨部门、跨地区、跨级次的资产调剂和共享共用，提升固定资产使用效益。高校、科研等事业单位要将符合条件的科研设施与科研仪器纳入重大科研基础设施和大型科研仪器国家网络管理平台，将仪器开放共享情况作为新增资产配置的重要参 考因素，推动开放共享和高效利用。</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（十一）规范处置。</w:t>
      </w:r>
      <w:r>
        <w:rPr>
          <w:rFonts w:hint="eastAsia" w:ascii="方正仿宋简体" w:hAnsi="方正仿宋简体" w:eastAsia="方正仿宋简体" w:cs="方正仿宋简体"/>
          <w:bCs/>
          <w:iCs/>
          <w:kern w:val="0"/>
          <w:sz w:val="26"/>
          <w:szCs w:val="26"/>
          <w:lang w:val="zh-CN" w:bidi="zh-CN"/>
        </w:rPr>
        <w:t>明确固定资产内部处置程序，严格按规定权限履行报批程序，及时处置固定资产。对长期积压的待处置资产，按“三重一大”事项履行集体决策程序，在规定权限内予以处置，切实解决“销账难”的问题。固定资产处置要做到公开、公正、公平。出售、出让、转让固定资产应依法依规进行资产评估，数量较多或者价值较高的，通过进场交易、拍卖等公开方式处置。确实不具备使用价值的处置资产，鼓励通过网络拍卖等方式公开处置。处置收入扣除相关税金、评估费、拍卖佣金等费用后，按照政府非税收入收缴管理有关规定及时缴入国库，实行“收支两条线”管理。</w:t>
      </w:r>
    </w:p>
    <w:p>
      <w:pPr>
        <w:autoSpaceDE w:val="0"/>
        <w:autoSpaceDN w:val="0"/>
        <w:spacing w:line="400" w:lineRule="exact"/>
        <w:ind w:firstLine="520" w:firstLineChars="200"/>
        <w:jc w:val="left"/>
        <w:rPr>
          <w:rFonts w:ascii="黑体" w:hAnsi="黑体" w:eastAsia="黑体" w:cs="方正仿宋简体"/>
          <w:bCs/>
          <w:iCs/>
          <w:kern w:val="0"/>
          <w:sz w:val="26"/>
          <w:szCs w:val="26"/>
          <w:lang w:val="zh-CN" w:bidi="zh-CN"/>
        </w:rPr>
      </w:pPr>
      <w:r>
        <w:rPr>
          <w:rFonts w:hint="eastAsia" w:ascii="黑体" w:hAnsi="黑体" w:eastAsia="黑体" w:cs="方正仿宋简体"/>
          <w:bCs/>
          <w:iCs/>
          <w:kern w:val="0"/>
          <w:sz w:val="26"/>
          <w:szCs w:val="26"/>
          <w:lang w:val="zh-CN" w:bidi="zh-CN"/>
        </w:rPr>
        <w:t>四、完善追责机制，加强监督检查</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（十二）损失追责。</w:t>
      </w:r>
      <w:r>
        <w:rPr>
          <w:rFonts w:hint="eastAsia" w:ascii="方正仿宋简体" w:hAnsi="方正仿宋简体" w:eastAsia="方正仿宋简体" w:cs="方正仿宋简体"/>
          <w:bCs/>
          <w:iCs/>
          <w:kern w:val="0"/>
          <w:sz w:val="26"/>
          <w:szCs w:val="26"/>
          <w:lang w:val="zh-CN" w:bidi="zh-CN"/>
        </w:rPr>
        <w:t>各部门、各单位应当建立健全固定资产损失追责机制，落实损失赔偿责任。对因使用、保管不善等造成的固定资产丢失、损毁等情形，按照规定进行责任认定，由责任人承担相应责任。</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（十三）绩效管理。</w:t>
      </w:r>
      <w:r>
        <w:rPr>
          <w:rFonts w:hint="eastAsia" w:ascii="方正仿宋简体" w:hAnsi="方正仿宋简体" w:eastAsia="方正仿宋简体" w:cs="方正仿宋简体"/>
          <w:bCs/>
          <w:iCs/>
          <w:kern w:val="0"/>
          <w:sz w:val="26"/>
          <w:szCs w:val="26"/>
          <w:lang w:val="zh-CN" w:bidi="zh-CN"/>
        </w:rPr>
        <w:t>各级财政部门、各部门应当建立固定资产全过程绩效管理机制，对固定资产管理机构人员设置，账实相符情况，配置效率、使用效果、处置以及收入管理、信息系统建设和应用等情况设置具体绩效指标，实施跟踪问效。</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方正仿宋简体"/>
          <w:bCs/>
          <w:iCs/>
          <w:kern w:val="0"/>
          <w:sz w:val="26"/>
          <w:szCs w:val="26"/>
          <w:lang w:val="zh-CN" w:bidi="zh-CN"/>
        </w:rPr>
        <w:t>（十四）监督检查。</w:t>
      </w:r>
      <w:r>
        <w:rPr>
          <w:rFonts w:hint="eastAsia" w:ascii="方正仿宋简体" w:hAnsi="方正仿宋简体" w:eastAsia="方正仿宋简体" w:cs="方正仿宋简体"/>
          <w:bCs/>
          <w:iCs/>
          <w:kern w:val="0"/>
          <w:sz w:val="26"/>
          <w:szCs w:val="26"/>
          <w:lang w:val="zh-CN" w:bidi="zh-CN"/>
        </w:rPr>
        <w:t>各级财政部门会同主管部门加强固定资产管理的监督检查，在强化日常监管基础上，针对单位固定资产管理制度是否完善、基础工作是否扎实、使用是否高效等开展监督检查，增强监督实效。对固定资产管理不到位的行政事业单位进行通报；对隐瞒不报、故意损毁、违规违纪违法操作，造成国有资产重大流失的，依法追究相关责任。</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各部门、各单位要高度重视并切实加强固定资产管理，根据本通知精神，落实管理责任，细化管理要求，规范管理行为，加强信息技术支撑，确保固定资产安全完整、运转高效。</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p>
    <w:p>
      <w:pPr>
        <w:autoSpaceDE w:val="0"/>
        <w:autoSpaceDN w:val="0"/>
        <w:spacing w:line="400" w:lineRule="exact"/>
        <w:ind w:firstLine="6110" w:firstLineChars="235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财 政 部</w:t>
      </w:r>
    </w:p>
    <w:p>
      <w:pPr>
        <w:autoSpaceDE w:val="0"/>
        <w:autoSpaceDN w:val="0"/>
        <w:spacing w:line="400" w:lineRule="exact"/>
        <w:ind w:right="546" w:firstLine="5460" w:firstLineChars="2100"/>
        <w:jc w:val="left"/>
        <w:rPr>
          <w:rFonts w:ascii="方正仿宋简体" w:hAnsi="方正仿宋简体" w:eastAsia="方正仿宋简体" w:cs="方正仿宋简体"/>
          <w:color w:val="303030"/>
          <w:kern w:val="0"/>
          <w:sz w:val="26"/>
          <w:szCs w:val="26"/>
          <w:lang w:val="zh-CN" w:bidi="zh-CN"/>
        </w:rPr>
      </w:pPr>
      <w:r>
        <w:rPr>
          <w:rFonts w:hint="eastAsia" w:ascii="方正仿宋简体" w:hAnsi="方正仿宋简体" w:eastAsia="方正仿宋简体" w:cs="方正仿宋简体"/>
          <w:color w:val="303030"/>
          <w:kern w:val="0"/>
          <w:sz w:val="26"/>
          <w:szCs w:val="26"/>
          <w:lang w:val="zh-CN" w:bidi="zh-CN"/>
        </w:rPr>
        <w:t>2020 年 8 月 26 日</w:t>
      </w:r>
    </w:p>
    <w:p>
      <w:pPr>
        <w:spacing w:line="400" w:lineRule="exact"/>
        <w:ind w:firstLine="520" w:firstLineChars="200"/>
        <w:jc w:val="left"/>
        <w:rPr>
          <w:rFonts w:ascii="方正仿宋简体" w:hAnsi="方正仿宋简体" w:eastAsia="方正仿宋简体" w:cs="方正仿宋简体"/>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before="11" w:line="400" w:lineRule="exact"/>
        <w:ind w:firstLine="520" w:firstLineChars="200"/>
        <w:jc w:val="left"/>
        <w:rPr>
          <w:sz w:val="26"/>
          <w:szCs w:val="26"/>
        </w:rPr>
      </w:pPr>
    </w:p>
    <w:p>
      <w:pPr>
        <w:jc w:val="center"/>
        <w:rPr>
          <w:rFonts w:hint="eastAsia" w:ascii="方正小标宋简体" w:eastAsia="方正小标宋简体"/>
          <w:sz w:val="40"/>
          <w:szCs w:val="40"/>
        </w:rPr>
      </w:pPr>
      <w:r>
        <w:rPr>
          <w:rFonts w:hint="eastAsia" w:ascii="方正小标宋简体" w:eastAsia="方正小标宋简体"/>
          <w:sz w:val="40"/>
          <w:szCs w:val="40"/>
        </w:rPr>
        <w:t>山东省财政厅关于印发山东省省级政府公物仓管理暂行办法的通知</w:t>
      </w:r>
    </w:p>
    <w:p/>
    <w:p>
      <w:pPr>
        <w:jc w:val="center"/>
      </w:pPr>
      <w:r>
        <w:rPr>
          <w:rFonts w:hint="eastAsia"/>
        </w:rPr>
        <w:t>鲁财资〔2020〕35号</w:t>
      </w:r>
    </w:p>
    <w:p/>
    <w:p/>
    <w:p/>
    <w:p>
      <w:r>
        <w:rPr>
          <w:rFonts w:hint="eastAsia"/>
        </w:rPr>
        <w:t>省直各部门、单位：</w:t>
      </w:r>
    </w:p>
    <w:p/>
    <w:p>
      <w:pPr>
        <w:ind w:firstLine="420" w:firstLineChars="200"/>
      </w:pPr>
      <w:r>
        <w:rPr>
          <w:rFonts w:hint="eastAsia"/>
        </w:rPr>
        <w:t>为加大省级行政事业性国有资产盘活力度，建立资产共享调剂机制，提高资产配置使用效率，根据《山东省省级行政事业性国有资产管理改革实施方案》（鲁政办字〔2020〕68号）以及有关法律法规，我们制定了《山东省省级政府公物仓管理暂行办法》，现予以印发，请结合实际，认真贯彻执行。</w:t>
      </w:r>
    </w:p>
    <w:p/>
    <w:p>
      <w:pPr>
        <w:ind w:firstLine="5775" w:firstLineChars="2750"/>
      </w:pPr>
      <w:r>
        <w:rPr>
          <w:rFonts w:hint="eastAsia"/>
        </w:rPr>
        <w:t>山东省财政厅</w:t>
      </w:r>
    </w:p>
    <w:p/>
    <w:p>
      <w:pPr>
        <w:ind w:firstLine="5460" w:firstLineChars="2600"/>
      </w:pPr>
      <w:r>
        <w:rPr>
          <w:rFonts w:hint="eastAsia"/>
        </w:rPr>
        <w:t>2020年10月27日</w:t>
      </w:r>
    </w:p>
    <w:p/>
    <w:p>
      <w:pPr>
        <w:jc w:val="center"/>
        <w:rPr>
          <w:rFonts w:hint="eastAsia" w:ascii="方正小标宋简体" w:eastAsia="方正小标宋简体"/>
          <w:sz w:val="32"/>
          <w:szCs w:val="32"/>
        </w:rPr>
      </w:pPr>
      <w:r>
        <w:rPr>
          <w:rFonts w:hint="eastAsia" w:ascii="方正小标宋简体" w:eastAsia="方正小标宋简体"/>
          <w:sz w:val="32"/>
          <w:szCs w:val="32"/>
        </w:rPr>
        <w:t>山东省省级政府公物仓管理暂行办法</w:t>
      </w:r>
    </w:p>
    <w:p/>
    <w:p/>
    <w:p/>
    <w:p>
      <w:pPr>
        <w:jc w:val="center"/>
      </w:pPr>
      <w:r>
        <w:rPr>
          <w:rFonts w:hint="eastAsia"/>
        </w:rPr>
        <w:t>第一章  总  则</w:t>
      </w:r>
    </w:p>
    <w:p/>
    <w:p>
      <w:pPr>
        <w:ind w:firstLine="420" w:firstLineChars="200"/>
      </w:pPr>
      <w:r>
        <w:rPr>
          <w:rFonts w:hint="eastAsia"/>
        </w:rPr>
        <w:t>第一条  为加大省级行政事业性国有资产（以下简称“资产”）盘活力度，建立资产共享调剂机制，提高资产配置使用效率，根据《山东省省级行政事业性国有资产管理改革实施方案》（鲁政办字〔2020〕68号）以及国家有关法律法规，制定本办法。</w:t>
      </w:r>
    </w:p>
    <w:p>
      <w:pPr>
        <w:ind w:firstLine="420" w:firstLineChars="200"/>
      </w:pPr>
      <w:r>
        <w:rPr>
          <w:rFonts w:hint="eastAsia"/>
        </w:rPr>
        <w:t>第二条  本办法适用于省级党的机关、人大机关、行政机关、政协机关、监察机关、审判机关、检察机关、民主党派机关、社会团体以及各类事业单位（不含省属公立医院、学校和科研院所，以上统称“省级行政事业单位”）。</w:t>
      </w:r>
    </w:p>
    <w:p>
      <w:pPr>
        <w:ind w:firstLine="420" w:firstLineChars="200"/>
      </w:pPr>
      <w:r>
        <w:rPr>
          <w:rFonts w:hint="eastAsia"/>
        </w:rPr>
        <w:t>第三条  本办法所称政府公物仓，是指对省级行政事业单位通用设备、专用设备和家具用具等，进行集中收储、合理调剂、依法处置的运作平台。政府公物仓管理的资产范围包括：</w:t>
      </w:r>
    </w:p>
    <w:p>
      <w:pPr>
        <w:ind w:firstLine="420" w:firstLineChars="200"/>
      </w:pPr>
      <w:r>
        <w:rPr>
          <w:rFonts w:hint="eastAsia"/>
        </w:rPr>
        <w:t>（一）省级行政事业单位闲置半年以上的资产；</w:t>
      </w:r>
    </w:p>
    <w:p>
      <w:pPr>
        <w:ind w:firstLine="420" w:firstLineChars="200"/>
      </w:pPr>
      <w:r>
        <w:rPr>
          <w:rFonts w:hint="eastAsia"/>
        </w:rPr>
        <w:t>（二）超过规定标准配置的资产；</w:t>
      </w:r>
    </w:p>
    <w:p>
      <w:pPr>
        <w:ind w:firstLine="420" w:firstLineChars="200"/>
      </w:pPr>
      <w:r>
        <w:rPr>
          <w:rFonts w:hint="eastAsia"/>
        </w:rPr>
        <w:t>（三）经省委、省政府批准成立临时机构（含工作专班）、组织集中办公购置的资产；</w:t>
      </w:r>
    </w:p>
    <w:p>
      <w:pPr>
        <w:ind w:firstLine="420" w:firstLineChars="200"/>
      </w:pPr>
      <w:r>
        <w:rPr>
          <w:rFonts w:hint="eastAsia"/>
        </w:rPr>
        <w:t>（四）举办（参加）省级及以上会议、展览、文体、典礼，以及开展普查、调查等活动购置的资产；</w:t>
      </w:r>
    </w:p>
    <w:p>
      <w:pPr>
        <w:ind w:firstLine="420" w:firstLineChars="200"/>
      </w:pPr>
      <w:r>
        <w:rPr>
          <w:rFonts w:hint="eastAsia"/>
        </w:rPr>
        <w:t>（五）其他应纳入政府公物仓管理的资产。</w:t>
      </w:r>
    </w:p>
    <w:p>
      <w:pPr>
        <w:ind w:firstLine="420" w:firstLineChars="200"/>
      </w:pPr>
      <w:r>
        <w:rPr>
          <w:rFonts w:hint="eastAsia"/>
        </w:rPr>
        <w:t>第四条  政府公物仓运作遵循“受托管理、接受监督，厉行节约、共享调剂，规范运行、公开透明”的原则。</w:t>
      </w:r>
    </w:p>
    <w:p>
      <w:pPr>
        <w:ind w:firstLine="420" w:firstLineChars="200"/>
      </w:pPr>
      <w:r>
        <w:rPr>
          <w:rFonts w:hint="eastAsia"/>
        </w:rPr>
        <w:t>第五条  省财政厅委托山东省财欣资产运营有限公司（以下简称“财欣公司”）管理政府公物仓。</w:t>
      </w:r>
    </w:p>
    <w:p>
      <w:pPr>
        <w:ind w:firstLine="420" w:firstLineChars="200"/>
      </w:pPr>
      <w:r>
        <w:rPr>
          <w:rFonts w:hint="eastAsia"/>
        </w:rPr>
        <w:t>第六条  政府公物仓运转经费由省财政预算安排解决，财欣公司设置专账核算，主要用于资产维护保养、运输、仓储库房及设施维修等方面支出，具体经费管理办法另行制定。</w:t>
      </w:r>
    </w:p>
    <w:p>
      <w:pPr>
        <w:ind w:firstLine="420" w:firstLineChars="200"/>
      </w:pPr>
      <w:r>
        <w:rPr>
          <w:rFonts w:hint="eastAsia"/>
        </w:rPr>
        <w:t>第七条  政府公物仓资产上缴、调剂使用和处置等事项，通过“山东省行政事业资产管理信息系统”政府公物仓管理模块进行网上办理。</w:t>
      </w:r>
    </w:p>
    <w:p/>
    <w:p>
      <w:pPr>
        <w:jc w:val="center"/>
      </w:pPr>
      <w:r>
        <w:rPr>
          <w:rFonts w:hint="eastAsia"/>
        </w:rPr>
        <w:t>第二章  管理职责</w:t>
      </w:r>
    </w:p>
    <w:p/>
    <w:p>
      <w:pPr>
        <w:ind w:firstLine="420" w:firstLineChars="200"/>
      </w:pPr>
      <w:r>
        <w:rPr>
          <w:rFonts w:hint="eastAsia"/>
        </w:rPr>
        <w:t>第八条  省财政厅作为政府公物仓主管部门，负责制定政府公物仓相关政策制度，按规定审批政府公物仓资产上缴、借用、调拨和处置等事项，对政府公物仓管理情况进行监督检查，定期发布政府公物仓运行情况。</w:t>
      </w:r>
    </w:p>
    <w:p>
      <w:pPr>
        <w:ind w:firstLine="420" w:firstLineChars="200"/>
      </w:pPr>
      <w:r>
        <w:rPr>
          <w:rFonts w:hint="eastAsia"/>
        </w:rPr>
        <w:t>第九条  财欣公司作为受托管理机构，负责执行政府公物仓管理制度，实施政府公物仓仓储管理、财务管理、会计核算和资产处置，建立资产定期清查盘点和保管维护机制，按规定缴纳资产处置收益，接受省财政厅管理监督，及时向省财政厅报送政府公物仓运行情况。</w:t>
      </w:r>
    </w:p>
    <w:p>
      <w:pPr>
        <w:ind w:firstLine="420" w:firstLineChars="200"/>
      </w:pPr>
      <w:r>
        <w:rPr>
          <w:rFonts w:hint="eastAsia"/>
        </w:rPr>
        <w:t>第十条  省级行政事业单位根据工作需要，提出使用政府公物仓资产的申请，按规定办理资产调拨、借用和归还手续，负责使用政府公物仓资产的管理维护，确保资产在使用期间的安全完整。</w:t>
      </w:r>
    </w:p>
    <w:p>
      <w:pPr>
        <w:ind w:firstLine="420" w:firstLineChars="200"/>
      </w:pPr>
    </w:p>
    <w:p>
      <w:pPr>
        <w:jc w:val="center"/>
      </w:pPr>
      <w:r>
        <w:rPr>
          <w:rFonts w:hint="eastAsia"/>
        </w:rPr>
        <w:t>第三章  资产上缴</w:t>
      </w:r>
    </w:p>
    <w:p/>
    <w:p>
      <w:pPr>
        <w:ind w:firstLine="420" w:firstLineChars="200"/>
      </w:pPr>
      <w:r>
        <w:rPr>
          <w:rFonts w:hint="eastAsia"/>
        </w:rPr>
        <w:t>第十一条  省级行政事业单位上缴政府公物仓资产，应当按规定权限履行报批程序，并填写《山东省省级政府公物仓资产缴库单》（见附件1），经主管部门初核、政府公物仓审核、报省财政厅批准后，办理资产移交入库。资产上缴单位应当及时核销资产账务，并在“山东省行政事业资产管理信息系统”中减少相关资产信息。</w:t>
      </w:r>
    </w:p>
    <w:p>
      <w:pPr>
        <w:ind w:firstLine="420" w:firstLineChars="200"/>
      </w:pPr>
      <w:r>
        <w:rPr>
          <w:rFonts w:hint="eastAsia"/>
        </w:rPr>
        <w:t>（一）每年年底前，省级行政事业单位应当组织资产清查盘点，于次年3月底前，将闲置资产移交政府公物仓。</w:t>
      </w:r>
    </w:p>
    <w:p>
      <w:pPr>
        <w:ind w:firstLine="420" w:firstLineChars="200"/>
      </w:pPr>
      <w:r>
        <w:rPr>
          <w:rFonts w:hint="eastAsia"/>
        </w:rPr>
        <w:t>（二）成立临时机构（含工作专班）、组织集中办公购置的资产，除明确规定另有用途外，应当在临时机构（含工作专班）撤销或集中办公结束后15个工作日内，以相关资产配置预算为依据，由牵头部门负责移交政府公物仓。</w:t>
      </w:r>
    </w:p>
    <w:p>
      <w:pPr>
        <w:ind w:firstLine="420" w:firstLineChars="200"/>
      </w:pPr>
      <w:r>
        <w:rPr>
          <w:rFonts w:hint="eastAsia"/>
        </w:rPr>
        <w:t>（三）举办（参加）省级及以上会议、展览、文体、典礼，以及开展普查、调查等活动购置的资产，应当在活动结束后1个月内，以相关资产配置预算为依据，由牵头部门负责移交政府公物仓。</w:t>
      </w:r>
    </w:p>
    <w:p>
      <w:pPr>
        <w:ind w:firstLine="420" w:firstLineChars="200"/>
      </w:pPr>
      <w:r>
        <w:rPr>
          <w:rFonts w:hint="eastAsia"/>
        </w:rPr>
        <w:t>（四）涉及机构改革的省级行政事业单位资产，由接收单位负责清理盘点，凡超过规定标准配置的，应当在机构调整到位后1个月内，将资产移交政府公物仓。</w:t>
      </w:r>
    </w:p>
    <w:p>
      <w:pPr>
        <w:ind w:firstLine="420" w:firstLineChars="200"/>
      </w:pPr>
      <w:r>
        <w:rPr>
          <w:rFonts w:hint="eastAsia"/>
        </w:rPr>
        <w:t>（五）其他应上缴政府公物仓管理的资产，应当按相关规定及时移交政府公物仓。</w:t>
      </w:r>
    </w:p>
    <w:p/>
    <w:p>
      <w:pPr>
        <w:jc w:val="center"/>
      </w:pPr>
      <w:r>
        <w:rPr>
          <w:rFonts w:hint="eastAsia"/>
        </w:rPr>
        <w:t>第四章  资产使用</w:t>
      </w:r>
    </w:p>
    <w:p/>
    <w:p>
      <w:pPr>
        <w:ind w:firstLine="420" w:firstLineChars="200"/>
      </w:pPr>
      <w:r>
        <w:rPr>
          <w:rFonts w:hint="eastAsia"/>
        </w:rPr>
        <w:t>第十二条  因履职运转和事业发展需要，省级行政事业单位申请新增配置资产，首先由主管部门统筹自有资产解决，自有资产无法满足工作需要的，应当通过政府公物仓调拨或借用方式解决。</w:t>
      </w:r>
    </w:p>
    <w:p>
      <w:pPr>
        <w:ind w:firstLine="420" w:firstLineChars="200"/>
      </w:pPr>
      <w:r>
        <w:rPr>
          <w:rFonts w:hint="eastAsia"/>
        </w:rPr>
        <w:t>（一）资产调拨。省级行政事业单位申请调拨政府公物仓资产，应当填写《山东省省级政府公物仓资产调拨单》（见附件2），经主管部门初核、报省财政厅审核批准后，办理资产出库。资产接收单位应当将调入资产及时登记入账，并在“山东省行政事业资产管理信息系统”中增加相关资产信息。</w:t>
      </w:r>
    </w:p>
    <w:p>
      <w:pPr>
        <w:ind w:firstLine="420" w:firstLineChars="200"/>
      </w:pPr>
      <w:r>
        <w:rPr>
          <w:rFonts w:hint="eastAsia"/>
        </w:rPr>
        <w:t>（二）资产借用。省级行政事业单位借用政府公物仓资产，应当填写《山东省省级政府公物仓资产借用单》（见附件3），经主管部门初核，报省财政厅审核批准后，办理资产出库。资产借用单位应当按期归还资产，经政府公物仓查验合格并办理资产入库。借用期间发生资产损毁、丢失的，资产借用单位或责任人应当按照出库时资产净值进行赔偿。</w:t>
      </w:r>
    </w:p>
    <w:p/>
    <w:p>
      <w:pPr>
        <w:jc w:val="center"/>
      </w:pPr>
      <w:r>
        <w:rPr>
          <w:rFonts w:hint="eastAsia"/>
        </w:rPr>
        <w:t>第五章  资产处置</w:t>
      </w:r>
    </w:p>
    <w:p/>
    <w:p>
      <w:pPr>
        <w:ind w:firstLine="420" w:firstLineChars="200"/>
      </w:pPr>
      <w:r>
        <w:rPr>
          <w:rFonts w:hint="eastAsia"/>
        </w:rPr>
        <w:t>第十三条  政府公物仓资产因报废等原因需要处置的，由财欣公司填写《山东省省级政府公物仓资产处置单》（见附件4），报经省财政厅批准后进行处置。</w:t>
      </w:r>
    </w:p>
    <w:p>
      <w:pPr>
        <w:ind w:firstLine="420" w:firstLineChars="200"/>
      </w:pPr>
      <w:r>
        <w:rPr>
          <w:rFonts w:hint="eastAsia"/>
        </w:rPr>
        <w:t>第十四条  政府公物仓资产处置收入,在扣除相关税费后，按照政府非税收入管理和国库集中收缴有关规定，通过其他非经营性国有资产收入，全额上缴省级国库，实行“收支两条线”管理。</w:t>
      </w:r>
    </w:p>
    <w:p/>
    <w:p>
      <w:pPr>
        <w:jc w:val="center"/>
      </w:pPr>
      <w:r>
        <w:rPr>
          <w:rFonts w:hint="eastAsia"/>
        </w:rPr>
        <w:t>第六章  监督检查</w:t>
      </w:r>
    </w:p>
    <w:p/>
    <w:p>
      <w:pPr>
        <w:ind w:firstLine="420" w:firstLineChars="200"/>
      </w:pPr>
      <w:r>
        <w:rPr>
          <w:rFonts w:hint="eastAsia"/>
        </w:rPr>
        <w:t>第十五条  省财政厅对政府公物仓运行情况实施监督检查。</w:t>
      </w:r>
    </w:p>
    <w:p>
      <w:pPr>
        <w:ind w:firstLine="420" w:firstLineChars="200"/>
      </w:pPr>
      <w:r>
        <w:rPr>
          <w:rFonts w:hint="eastAsia"/>
        </w:rPr>
        <w:t>第十六条  每季度终了5个工作日内，由省财政厅向省级行政事业单位发布政府公物仓运行情况，主要内容包括本季度资产上缴、调拨、借用、处置以及资产存量等情况。</w:t>
      </w:r>
    </w:p>
    <w:p>
      <w:pPr>
        <w:ind w:firstLine="420" w:firstLineChars="200"/>
      </w:pPr>
      <w:r>
        <w:rPr>
          <w:rFonts w:hint="eastAsia"/>
        </w:rPr>
        <w:t>第十七条  违反本办法规定的,按照《财政违法行为处罚处分条例》(国务院令第427号)等有关法规处理。</w:t>
      </w:r>
    </w:p>
    <w:p>
      <w:pPr>
        <w:ind w:firstLine="420" w:firstLineChars="200"/>
      </w:pPr>
    </w:p>
    <w:p>
      <w:pPr>
        <w:jc w:val="center"/>
      </w:pPr>
      <w:r>
        <w:rPr>
          <w:rFonts w:hint="eastAsia"/>
        </w:rPr>
        <w:t>第七章  附  则</w:t>
      </w:r>
    </w:p>
    <w:p/>
    <w:p/>
    <w:p>
      <w:pPr>
        <w:ind w:firstLine="420" w:firstLineChars="200"/>
      </w:pPr>
      <w:r>
        <w:rPr>
          <w:rFonts w:hint="eastAsia"/>
        </w:rPr>
        <w:t>第十八条  本办法由省财政厅负责解释。</w:t>
      </w:r>
    </w:p>
    <w:p>
      <w:pPr>
        <w:ind w:firstLine="420" w:firstLineChars="200"/>
      </w:pPr>
      <w:r>
        <w:rPr>
          <w:rFonts w:hint="eastAsia"/>
        </w:rPr>
        <w:t>第十九条  各省属公立医院、学校和科研院所主管部门可参照本办法精神，结合实际开展省属公立医院、学校和科研院所资产共享调剂工作。</w:t>
      </w:r>
    </w:p>
    <w:p>
      <w:pPr>
        <w:ind w:firstLine="420" w:firstLineChars="200"/>
      </w:pPr>
      <w:r>
        <w:rPr>
          <w:rFonts w:hint="eastAsia"/>
        </w:rPr>
        <w:t>第二十条  本办法自2021年1月1日起施行，有效期至2022年12月31日。</w:t>
      </w:r>
    </w:p>
    <w:p>
      <w:pPr>
        <w:ind w:firstLine="420" w:firstLineChars="200"/>
      </w:pPr>
    </w:p>
    <w:p>
      <w:pPr>
        <w:ind w:firstLine="420" w:firstLineChars="200"/>
      </w:pPr>
      <w:r>
        <w:rPr>
          <w:rFonts w:hint="eastAsia"/>
        </w:rPr>
        <w:t>附件：山东省省级政府公物仓管理暂行办法附件.xls</w:t>
      </w:r>
    </w:p>
    <w:tbl>
      <w:tblPr>
        <w:tblStyle w:val="14"/>
        <w:tblW w:w="16000" w:type="dxa"/>
        <w:tblInd w:w="87" w:type="dxa"/>
        <w:tblLayout w:type="autofit"/>
        <w:tblCellMar>
          <w:top w:w="0" w:type="dxa"/>
          <w:left w:w="108" w:type="dxa"/>
          <w:bottom w:w="0" w:type="dxa"/>
          <w:right w:w="108" w:type="dxa"/>
        </w:tblCellMar>
      </w:tblPr>
      <w:tblGrid>
        <w:gridCol w:w="6"/>
        <w:gridCol w:w="648"/>
        <w:gridCol w:w="165"/>
        <w:gridCol w:w="67"/>
        <w:gridCol w:w="211"/>
        <w:gridCol w:w="796"/>
        <w:gridCol w:w="396"/>
        <w:gridCol w:w="677"/>
        <w:gridCol w:w="568"/>
        <w:gridCol w:w="344"/>
        <w:gridCol w:w="106"/>
        <w:gridCol w:w="902"/>
        <w:gridCol w:w="943"/>
        <w:gridCol w:w="143"/>
        <w:gridCol w:w="405"/>
        <w:gridCol w:w="429"/>
        <w:gridCol w:w="512"/>
        <w:gridCol w:w="125"/>
        <w:gridCol w:w="26"/>
        <w:gridCol w:w="490"/>
        <w:gridCol w:w="507"/>
        <w:gridCol w:w="577"/>
        <w:gridCol w:w="1041"/>
        <w:gridCol w:w="42"/>
        <w:gridCol w:w="502"/>
        <w:gridCol w:w="29"/>
        <w:gridCol w:w="1129"/>
        <w:gridCol w:w="237"/>
        <w:gridCol w:w="366"/>
        <w:gridCol w:w="640"/>
        <w:gridCol w:w="737"/>
        <w:gridCol w:w="109"/>
        <w:gridCol w:w="246"/>
        <w:gridCol w:w="543"/>
        <w:gridCol w:w="1336"/>
      </w:tblGrid>
      <w:tr>
        <w:tblPrEx>
          <w:tblCellMar>
            <w:top w:w="0" w:type="dxa"/>
            <w:left w:w="108" w:type="dxa"/>
            <w:bottom w:w="0" w:type="dxa"/>
            <w:right w:w="108" w:type="dxa"/>
          </w:tblCellMar>
        </w:tblPrEx>
        <w:trPr>
          <w:trHeight w:val="645" w:hRule="atLeast"/>
        </w:trPr>
        <w:tc>
          <w:tcPr>
            <w:tcW w:w="16000" w:type="dxa"/>
            <w:gridSpan w:val="35"/>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附件1</w:t>
            </w:r>
          </w:p>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山东省省级政府公物仓资产缴库单</w:t>
            </w:r>
          </w:p>
        </w:tc>
      </w:tr>
      <w:tr>
        <w:tblPrEx>
          <w:tblCellMar>
            <w:top w:w="0" w:type="dxa"/>
            <w:left w:w="108" w:type="dxa"/>
            <w:bottom w:w="0" w:type="dxa"/>
            <w:right w:w="108" w:type="dxa"/>
          </w:tblCellMar>
        </w:tblPrEx>
        <w:trPr>
          <w:trHeight w:val="390" w:hRule="atLeast"/>
        </w:trPr>
        <w:tc>
          <w:tcPr>
            <w:tcW w:w="819" w:type="dxa"/>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59" w:type="dxa"/>
            <w:gridSpan w:val="7"/>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499" w:type="dxa"/>
            <w:gridSpan w:val="5"/>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941" w:type="dxa"/>
            <w:gridSpan w:val="2"/>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641" w:type="dxa"/>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125" w:type="dxa"/>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5916" w:type="dxa"/>
            <w:gridSpan w:val="12"/>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金额单位：元       第     号</w:t>
            </w:r>
          </w:p>
        </w:tc>
      </w:tr>
      <w:tr>
        <w:tblPrEx>
          <w:tblCellMar>
            <w:top w:w="0" w:type="dxa"/>
            <w:left w:w="108" w:type="dxa"/>
            <w:bottom w:w="0" w:type="dxa"/>
            <w:right w:w="108" w:type="dxa"/>
          </w:tblCellMar>
        </w:tblPrEx>
        <w:trPr>
          <w:trHeight w:val="600" w:hRule="atLeast"/>
        </w:trPr>
        <w:tc>
          <w:tcPr>
            <w:tcW w:w="81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序号</w:t>
            </w:r>
          </w:p>
        </w:tc>
        <w:tc>
          <w:tcPr>
            <w:tcW w:w="305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资产编号</w:t>
            </w:r>
          </w:p>
        </w:tc>
        <w:tc>
          <w:tcPr>
            <w:tcW w:w="249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资产分类</w:t>
            </w:r>
          </w:p>
        </w:tc>
        <w:tc>
          <w:tcPr>
            <w:tcW w:w="1582"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品牌、规格型号</w:t>
            </w:r>
          </w:p>
        </w:tc>
        <w:tc>
          <w:tcPr>
            <w:tcW w:w="212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账面原值</w:t>
            </w:r>
          </w:p>
        </w:tc>
        <w:tc>
          <w:tcPr>
            <w:tcW w:w="193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账面净值</w:t>
            </w:r>
          </w:p>
        </w:tc>
        <w:tc>
          <w:tcPr>
            <w:tcW w:w="1852"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移交单位</w:t>
            </w:r>
            <w:r>
              <w:rPr>
                <w:rFonts w:hint="eastAsia" w:ascii="黑体" w:hAnsi="黑体" w:eastAsia="黑体" w:cs="宋体"/>
                <w:kern w:val="0"/>
                <w:sz w:val="22"/>
                <w:szCs w:val="22"/>
              </w:rPr>
              <w:br w:type="textWrapping"/>
            </w:r>
            <w:r>
              <w:rPr>
                <w:rFonts w:hint="eastAsia" w:ascii="黑体" w:hAnsi="黑体" w:eastAsia="黑体" w:cs="宋体"/>
                <w:kern w:val="0"/>
                <w:sz w:val="22"/>
                <w:szCs w:val="22"/>
              </w:rPr>
              <w:t>资产入账日期</w:t>
            </w:r>
          </w:p>
        </w:tc>
        <w:tc>
          <w:tcPr>
            <w:tcW w:w="212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备注</w:t>
            </w:r>
          </w:p>
        </w:tc>
      </w:tr>
      <w:tr>
        <w:tblPrEx>
          <w:tblCellMar>
            <w:top w:w="0" w:type="dxa"/>
            <w:left w:w="108" w:type="dxa"/>
            <w:bottom w:w="0" w:type="dxa"/>
            <w:right w:w="108" w:type="dxa"/>
          </w:tblCellMar>
        </w:tblPrEx>
        <w:trPr>
          <w:trHeight w:val="420" w:hRule="atLeast"/>
        </w:trPr>
        <w:tc>
          <w:tcPr>
            <w:tcW w:w="819"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3059" w:type="dxa"/>
            <w:gridSpan w:val="7"/>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499" w:type="dxa"/>
            <w:gridSpan w:val="5"/>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582"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939"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trHeight w:val="420" w:hRule="atLeast"/>
        </w:trPr>
        <w:tc>
          <w:tcPr>
            <w:tcW w:w="819"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3059" w:type="dxa"/>
            <w:gridSpan w:val="7"/>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499" w:type="dxa"/>
            <w:gridSpan w:val="5"/>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582"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939"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trHeight w:val="420" w:hRule="atLeast"/>
        </w:trPr>
        <w:tc>
          <w:tcPr>
            <w:tcW w:w="819"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3059" w:type="dxa"/>
            <w:gridSpan w:val="7"/>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499" w:type="dxa"/>
            <w:gridSpan w:val="5"/>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582"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939"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trHeight w:val="420" w:hRule="atLeast"/>
        </w:trPr>
        <w:tc>
          <w:tcPr>
            <w:tcW w:w="7959" w:type="dxa"/>
            <w:gridSpan w:val="20"/>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合　　　　　计：</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939"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c>
          <w:tcPr>
            <w:tcW w:w="2125"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r>
      <w:tr>
        <w:tblPrEx>
          <w:tblCellMar>
            <w:top w:w="0" w:type="dxa"/>
            <w:left w:w="108" w:type="dxa"/>
            <w:bottom w:w="0" w:type="dxa"/>
            <w:right w:w="108" w:type="dxa"/>
          </w:tblCellMar>
        </w:tblPrEx>
        <w:trPr>
          <w:trHeight w:val="540" w:hRule="atLeast"/>
        </w:trPr>
        <w:tc>
          <w:tcPr>
            <w:tcW w:w="3878" w:type="dxa"/>
            <w:gridSpan w:val="10"/>
            <w:tcBorders>
              <w:top w:val="single" w:color="auto" w:sz="4" w:space="0"/>
              <w:left w:val="single" w:color="auto" w:sz="4" w:space="0"/>
              <w:bottom w:val="nil"/>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移交单位</w:t>
            </w:r>
          </w:p>
        </w:tc>
        <w:tc>
          <w:tcPr>
            <w:tcW w:w="4081" w:type="dxa"/>
            <w:gridSpan w:val="10"/>
            <w:tcBorders>
              <w:top w:val="single" w:color="auto" w:sz="4" w:space="0"/>
              <w:left w:val="nil"/>
              <w:bottom w:val="nil"/>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主管部门</w:t>
            </w:r>
          </w:p>
        </w:tc>
        <w:tc>
          <w:tcPr>
            <w:tcW w:w="4064" w:type="dxa"/>
            <w:gridSpan w:val="8"/>
            <w:tcBorders>
              <w:top w:val="single" w:color="auto" w:sz="4" w:space="0"/>
              <w:left w:val="nil"/>
              <w:bottom w:val="nil"/>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政府公物仓</w:t>
            </w:r>
          </w:p>
        </w:tc>
        <w:tc>
          <w:tcPr>
            <w:tcW w:w="3977" w:type="dxa"/>
            <w:gridSpan w:val="7"/>
            <w:tcBorders>
              <w:top w:val="single" w:color="auto" w:sz="4" w:space="0"/>
              <w:left w:val="nil"/>
              <w:bottom w:val="nil"/>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财政部门</w:t>
            </w:r>
          </w:p>
        </w:tc>
      </w:tr>
      <w:tr>
        <w:tblPrEx>
          <w:tblCellMar>
            <w:top w:w="0" w:type="dxa"/>
            <w:left w:w="108" w:type="dxa"/>
            <w:bottom w:w="0" w:type="dxa"/>
            <w:right w:w="108" w:type="dxa"/>
          </w:tblCellMar>
        </w:tblPrEx>
        <w:trPr>
          <w:trHeight w:val="480" w:hRule="atLeast"/>
        </w:trPr>
        <w:tc>
          <w:tcPr>
            <w:tcW w:w="3878" w:type="dxa"/>
            <w:gridSpan w:val="10"/>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2499" w:type="dxa"/>
            <w:gridSpan w:val="5"/>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941" w:type="dxa"/>
            <w:gridSpan w:val="2"/>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641"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4064" w:type="dxa"/>
            <w:gridSpan w:val="8"/>
            <w:tcBorders>
              <w:top w:val="nil"/>
              <w:left w:val="single" w:color="auto" w:sz="4" w:space="0"/>
              <w:bottom w:val="nil"/>
              <w:right w:val="single" w:color="000000"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政府公物仓负责人：</w:t>
            </w:r>
          </w:p>
        </w:tc>
        <w:tc>
          <w:tcPr>
            <w:tcW w:w="1852"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p>
        </w:tc>
        <w:tc>
          <w:tcPr>
            <w:tcW w:w="2125"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rPr>
          <w:trHeight w:val="480" w:hRule="atLeast"/>
        </w:trPr>
        <w:tc>
          <w:tcPr>
            <w:tcW w:w="3878" w:type="dxa"/>
            <w:gridSpan w:val="10"/>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3440"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641"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939" w:type="dxa"/>
            <w:gridSpan w:val="5"/>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p>
        </w:tc>
        <w:tc>
          <w:tcPr>
            <w:tcW w:w="2125"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trHeight w:val="480" w:hRule="atLeast"/>
        </w:trPr>
        <w:tc>
          <w:tcPr>
            <w:tcW w:w="3878" w:type="dxa"/>
            <w:gridSpan w:val="10"/>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2499" w:type="dxa"/>
            <w:gridSpan w:val="5"/>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941" w:type="dxa"/>
            <w:gridSpan w:val="2"/>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641"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2125" w:type="dxa"/>
            <w:gridSpan w:val="3"/>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939" w:type="dxa"/>
            <w:gridSpan w:val="5"/>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852"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p>
        </w:tc>
        <w:tc>
          <w:tcPr>
            <w:tcW w:w="2125"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trHeight w:val="690" w:hRule="atLeast"/>
        </w:trPr>
        <w:tc>
          <w:tcPr>
            <w:tcW w:w="819"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3059" w:type="dxa"/>
            <w:gridSpan w:val="7"/>
            <w:tcBorders>
              <w:top w:val="nil"/>
              <w:left w:val="nil"/>
              <w:bottom w:val="nil"/>
              <w:right w:val="nil"/>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（公章）</w:t>
            </w:r>
          </w:p>
        </w:tc>
        <w:tc>
          <w:tcPr>
            <w:tcW w:w="2499" w:type="dxa"/>
            <w:gridSpan w:val="5"/>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582" w:type="dxa"/>
            <w:gridSpan w:val="5"/>
            <w:tcBorders>
              <w:top w:val="nil"/>
              <w:left w:val="nil"/>
              <w:bottom w:val="nil"/>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（公章）</w:t>
            </w:r>
          </w:p>
        </w:tc>
        <w:tc>
          <w:tcPr>
            <w:tcW w:w="2125" w:type="dxa"/>
            <w:gridSpan w:val="3"/>
            <w:tcBorders>
              <w:top w:val="nil"/>
              <w:left w:val="nil"/>
              <w:bottom w:val="nil"/>
              <w:right w:val="nil"/>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939" w:type="dxa"/>
            <w:gridSpan w:val="5"/>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（公章）</w:t>
            </w:r>
          </w:p>
        </w:tc>
        <w:tc>
          <w:tcPr>
            <w:tcW w:w="1852"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p>
        </w:tc>
        <w:tc>
          <w:tcPr>
            <w:tcW w:w="2125" w:type="dxa"/>
            <w:gridSpan w:val="3"/>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（公章）</w:t>
            </w:r>
          </w:p>
        </w:tc>
      </w:tr>
      <w:tr>
        <w:tblPrEx>
          <w:tblCellMar>
            <w:top w:w="0" w:type="dxa"/>
            <w:left w:w="108" w:type="dxa"/>
            <w:bottom w:w="0" w:type="dxa"/>
            <w:right w:w="108" w:type="dxa"/>
          </w:tblCellMar>
        </w:tblPrEx>
        <w:trPr>
          <w:trHeight w:val="690" w:hRule="atLeast"/>
        </w:trPr>
        <w:tc>
          <w:tcPr>
            <w:tcW w:w="819" w:type="dxa"/>
            <w:gridSpan w:val="3"/>
            <w:tcBorders>
              <w:top w:val="nil"/>
              <w:left w:val="single" w:color="auto" w:sz="4" w:space="0"/>
              <w:bottom w:val="single" w:color="auto" w:sz="4" w:space="0"/>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3059" w:type="dxa"/>
            <w:gridSpan w:val="7"/>
            <w:tcBorders>
              <w:top w:val="nil"/>
              <w:left w:val="nil"/>
              <w:bottom w:val="single" w:color="auto" w:sz="4" w:space="0"/>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年    月    日</w:t>
            </w:r>
          </w:p>
        </w:tc>
        <w:tc>
          <w:tcPr>
            <w:tcW w:w="2499" w:type="dxa"/>
            <w:gridSpan w:val="5"/>
            <w:tcBorders>
              <w:top w:val="nil"/>
              <w:left w:val="single" w:color="auto" w:sz="4" w:space="0"/>
              <w:bottom w:val="single" w:color="auto" w:sz="4" w:space="0"/>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582" w:type="dxa"/>
            <w:gridSpan w:val="5"/>
            <w:tcBorders>
              <w:top w:val="nil"/>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年    月    日</w:t>
            </w:r>
          </w:p>
        </w:tc>
        <w:tc>
          <w:tcPr>
            <w:tcW w:w="4064" w:type="dxa"/>
            <w:gridSpan w:val="8"/>
            <w:tcBorders>
              <w:top w:val="nil"/>
              <w:left w:val="nil"/>
              <w:bottom w:val="single" w:color="auto" w:sz="4" w:space="0"/>
              <w:right w:val="single" w:color="000000"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年    月    日</w:t>
            </w:r>
          </w:p>
        </w:tc>
        <w:tc>
          <w:tcPr>
            <w:tcW w:w="3977" w:type="dxa"/>
            <w:gridSpan w:val="7"/>
            <w:tcBorders>
              <w:top w:val="nil"/>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年    月    日</w:t>
            </w:r>
          </w:p>
        </w:tc>
      </w:tr>
      <w:tr>
        <w:tblPrEx>
          <w:tblCellMar>
            <w:top w:w="0" w:type="dxa"/>
            <w:left w:w="108" w:type="dxa"/>
            <w:bottom w:w="0" w:type="dxa"/>
            <w:right w:w="108" w:type="dxa"/>
          </w:tblCellMar>
        </w:tblPrEx>
        <w:trPr>
          <w:trHeight w:val="285" w:hRule="atLeast"/>
        </w:trPr>
        <w:tc>
          <w:tcPr>
            <w:tcW w:w="16000" w:type="dxa"/>
            <w:gridSpan w:val="35"/>
            <w:tcBorders>
              <w:top w:val="nil"/>
              <w:left w:val="nil"/>
              <w:bottom w:val="nil"/>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备注：1.本表由移交单位通过“山东省行政事业资产管理信息系统”政府公物仓模块填制打印并上报。</w:t>
            </w:r>
          </w:p>
        </w:tc>
      </w:tr>
      <w:tr>
        <w:tblPrEx>
          <w:tblCellMar>
            <w:top w:w="0" w:type="dxa"/>
            <w:left w:w="108" w:type="dxa"/>
            <w:bottom w:w="0" w:type="dxa"/>
            <w:right w:w="108" w:type="dxa"/>
          </w:tblCellMar>
        </w:tblPrEx>
        <w:trPr>
          <w:trHeight w:val="285" w:hRule="atLeast"/>
        </w:trPr>
        <w:tc>
          <w:tcPr>
            <w:tcW w:w="16000" w:type="dxa"/>
            <w:gridSpan w:val="35"/>
            <w:tcBorders>
              <w:top w:val="nil"/>
              <w:left w:val="nil"/>
              <w:bottom w:val="nil"/>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      2.本表一式四联，移交单位、主管部门、财政部门、政府公物仓各一联。</w:t>
            </w: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方正小标宋简体" w:hAnsi="宋体" w:eastAsia="方正小标宋简体" w:cs="宋体"/>
                <w:kern w:val="0"/>
                <w:sz w:val="36"/>
                <w:szCs w:val="36"/>
              </w:rPr>
            </w:pPr>
          </w:p>
          <w:p>
            <w:pPr>
              <w:widowControl/>
              <w:jc w:val="left"/>
              <w:rPr>
                <w:rFonts w:ascii="宋体" w:hAnsi="宋体" w:eastAsia="宋体" w:cs="宋体"/>
                <w:kern w:val="0"/>
                <w:sz w:val="20"/>
                <w:szCs w:val="20"/>
              </w:rPr>
            </w:pPr>
            <w:r>
              <w:rPr>
                <w:rFonts w:hint="eastAsia" w:ascii="方正小标宋简体" w:hAnsi="宋体" w:eastAsia="方正小标宋简体" w:cs="宋体"/>
                <w:kern w:val="0"/>
                <w:sz w:val="36"/>
                <w:szCs w:val="36"/>
              </w:rPr>
              <w:t>附件2</w:t>
            </w:r>
          </w:p>
        </w:tc>
      </w:tr>
      <w:tr>
        <w:tblPrEx>
          <w:tblCellMar>
            <w:top w:w="0" w:type="dxa"/>
            <w:left w:w="108" w:type="dxa"/>
            <w:bottom w:w="0" w:type="dxa"/>
            <w:right w:w="108" w:type="dxa"/>
          </w:tblCellMar>
        </w:tblPrEx>
        <w:trPr>
          <w:trHeight w:val="285" w:hRule="atLeast"/>
        </w:trPr>
        <w:tc>
          <w:tcPr>
            <w:tcW w:w="16000" w:type="dxa"/>
            <w:gridSpan w:val="35"/>
            <w:tcBorders>
              <w:top w:val="nil"/>
              <w:left w:val="nil"/>
              <w:bottom w:val="nil"/>
              <w:right w:val="nil"/>
            </w:tcBorders>
            <w:shd w:val="clear" w:color="auto" w:fill="auto"/>
            <w:vAlign w:val="center"/>
          </w:tcPr>
          <w:p>
            <w:pPr>
              <w:widowControl/>
              <w:jc w:val="center"/>
              <w:rPr>
                <w:rFonts w:ascii="宋体" w:hAnsi="宋体" w:eastAsia="宋体" w:cs="宋体"/>
                <w:kern w:val="0"/>
                <w:sz w:val="20"/>
                <w:szCs w:val="20"/>
              </w:rPr>
            </w:pPr>
            <w:r>
              <w:rPr>
                <w:rFonts w:hint="eastAsia" w:ascii="方正小标宋简体" w:hAnsi="宋体" w:eastAsia="方正小标宋简体" w:cs="宋体"/>
                <w:kern w:val="0"/>
                <w:sz w:val="36"/>
                <w:szCs w:val="36"/>
              </w:rPr>
              <w:t>山东省省级政府公物仓资产调拨单</w:t>
            </w:r>
          </w:p>
        </w:tc>
      </w:tr>
      <w:tr>
        <w:tblPrEx>
          <w:tblCellMar>
            <w:top w:w="0" w:type="dxa"/>
            <w:left w:w="108" w:type="dxa"/>
            <w:bottom w:w="0" w:type="dxa"/>
            <w:right w:w="108" w:type="dxa"/>
          </w:tblCellMar>
        </w:tblPrEx>
        <w:trPr>
          <w:gridAfter w:val="1"/>
          <w:wAfter w:w="1336" w:type="dxa"/>
          <w:trHeight w:val="379" w:hRule="atLeast"/>
        </w:trPr>
        <w:tc>
          <w:tcPr>
            <w:tcW w:w="1097" w:type="dxa"/>
            <w:gridSpan w:val="5"/>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192"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95"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988" w:type="dxa"/>
            <w:gridSpan w:val="3"/>
            <w:tcBorders>
              <w:top w:val="nil"/>
              <w:left w:val="nil"/>
              <w:bottom w:val="nil"/>
              <w:right w:val="nil"/>
            </w:tcBorders>
            <w:shd w:val="clear" w:color="auto" w:fill="auto"/>
            <w:noWrap/>
            <w:vAlign w:val="center"/>
          </w:tcPr>
          <w:p>
            <w:pPr>
              <w:widowControl/>
              <w:jc w:val="left"/>
              <w:rPr>
                <w:rFonts w:ascii="仿宋" w:hAnsi="仿宋" w:eastAsia="仿宋" w:cs="宋体"/>
                <w:color w:val="000000"/>
                <w:kern w:val="0"/>
                <w:sz w:val="22"/>
                <w:szCs w:val="22"/>
              </w:rPr>
            </w:pPr>
          </w:p>
        </w:tc>
        <w:tc>
          <w:tcPr>
            <w:tcW w:w="1471" w:type="dxa"/>
            <w:gridSpan w:val="4"/>
            <w:tcBorders>
              <w:top w:val="nil"/>
              <w:left w:val="nil"/>
              <w:bottom w:val="nil"/>
              <w:right w:val="nil"/>
            </w:tcBorders>
            <w:shd w:val="clear" w:color="auto" w:fill="auto"/>
            <w:noWrap/>
            <w:vAlign w:val="center"/>
          </w:tcPr>
          <w:p>
            <w:pPr>
              <w:widowControl/>
              <w:jc w:val="left"/>
              <w:rPr>
                <w:rFonts w:ascii="仿宋" w:hAnsi="仿宋" w:eastAsia="仿宋" w:cs="宋体"/>
                <w:color w:val="000000"/>
                <w:kern w:val="0"/>
                <w:sz w:val="22"/>
                <w:szCs w:val="22"/>
              </w:rPr>
            </w:pPr>
          </w:p>
        </w:tc>
        <w:tc>
          <w:tcPr>
            <w:tcW w:w="1600" w:type="dxa"/>
            <w:gridSpan w:val="4"/>
            <w:tcBorders>
              <w:top w:val="nil"/>
              <w:left w:val="nil"/>
              <w:bottom w:val="nil"/>
              <w:right w:val="nil"/>
            </w:tcBorders>
            <w:shd w:val="clear" w:color="auto" w:fill="auto"/>
            <w:noWrap/>
            <w:vAlign w:val="center"/>
          </w:tcPr>
          <w:p>
            <w:pPr>
              <w:widowControl/>
              <w:jc w:val="left"/>
              <w:rPr>
                <w:rFonts w:ascii="仿宋" w:hAnsi="仿宋" w:eastAsia="仿宋" w:cs="宋体"/>
                <w:color w:val="000000"/>
                <w:kern w:val="0"/>
                <w:sz w:val="22"/>
                <w:szCs w:val="22"/>
              </w:rPr>
            </w:pPr>
          </w:p>
        </w:tc>
        <w:tc>
          <w:tcPr>
            <w:tcW w:w="1585" w:type="dxa"/>
            <w:gridSpan w:val="3"/>
            <w:tcBorders>
              <w:top w:val="nil"/>
              <w:left w:val="nil"/>
              <w:bottom w:val="nil"/>
              <w:right w:val="nil"/>
            </w:tcBorders>
            <w:shd w:val="clear" w:color="auto" w:fill="auto"/>
            <w:noWrap/>
            <w:vAlign w:val="center"/>
          </w:tcPr>
          <w:p>
            <w:pPr>
              <w:widowControl/>
              <w:jc w:val="left"/>
              <w:rPr>
                <w:rFonts w:ascii="仿宋" w:hAnsi="仿宋" w:eastAsia="仿宋" w:cs="宋体"/>
                <w:color w:val="000000"/>
                <w:kern w:val="0"/>
                <w:sz w:val="22"/>
                <w:szCs w:val="22"/>
              </w:rPr>
            </w:pPr>
          </w:p>
        </w:tc>
        <w:tc>
          <w:tcPr>
            <w:tcW w:w="4036" w:type="dxa"/>
            <w:gridSpan w:val="9"/>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金额单位：元     第     号</w:t>
            </w:r>
          </w:p>
        </w:tc>
      </w:tr>
      <w:tr>
        <w:tblPrEx>
          <w:tblCellMar>
            <w:top w:w="0" w:type="dxa"/>
            <w:left w:w="108" w:type="dxa"/>
            <w:bottom w:w="0" w:type="dxa"/>
            <w:right w:w="108" w:type="dxa"/>
          </w:tblCellMar>
        </w:tblPrEx>
        <w:trPr>
          <w:gridAfter w:val="1"/>
          <w:wAfter w:w="1336" w:type="dxa"/>
          <w:trHeight w:val="600" w:hRule="atLeast"/>
        </w:trPr>
        <w:tc>
          <w:tcPr>
            <w:tcW w:w="109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序号</w:t>
            </w:r>
          </w:p>
        </w:tc>
        <w:tc>
          <w:tcPr>
            <w:tcW w:w="119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资产编号</w:t>
            </w:r>
          </w:p>
        </w:tc>
        <w:tc>
          <w:tcPr>
            <w:tcW w:w="1695"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资产分类</w:t>
            </w:r>
          </w:p>
        </w:tc>
        <w:tc>
          <w:tcPr>
            <w:tcW w:w="1988"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品牌、规格型号</w:t>
            </w:r>
          </w:p>
        </w:tc>
        <w:tc>
          <w:tcPr>
            <w:tcW w:w="147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账面原值</w:t>
            </w:r>
          </w:p>
        </w:tc>
        <w:tc>
          <w:tcPr>
            <w:tcW w:w="1600"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账面净值</w:t>
            </w:r>
          </w:p>
        </w:tc>
        <w:tc>
          <w:tcPr>
            <w:tcW w:w="158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入账时间</w:t>
            </w:r>
          </w:p>
        </w:tc>
        <w:tc>
          <w:tcPr>
            <w:tcW w:w="2401"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已使用年限（月）</w:t>
            </w:r>
          </w:p>
        </w:tc>
        <w:tc>
          <w:tcPr>
            <w:tcW w:w="1635"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调出时间</w:t>
            </w:r>
          </w:p>
        </w:tc>
      </w:tr>
      <w:tr>
        <w:tblPrEx>
          <w:tblCellMar>
            <w:top w:w="0" w:type="dxa"/>
            <w:left w:w="108" w:type="dxa"/>
            <w:bottom w:w="0" w:type="dxa"/>
            <w:right w:w="108" w:type="dxa"/>
          </w:tblCellMar>
        </w:tblPrEx>
        <w:trPr>
          <w:gridAfter w:val="1"/>
          <w:wAfter w:w="1336" w:type="dxa"/>
          <w:trHeight w:val="420" w:hRule="atLeast"/>
        </w:trPr>
        <w:tc>
          <w:tcPr>
            <w:tcW w:w="1097"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92"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9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471"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00"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8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01"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3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420" w:hRule="atLeast"/>
        </w:trPr>
        <w:tc>
          <w:tcPr>
            <w:tcW w:w="1097"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92"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9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471"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00"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8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01"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3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420" w:hRule="atLeast"/>
        </w:trPr>
        <w:tc>
          <w:tcPr>
            <w:tcW w:w="1097"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92"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9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471"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00"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85"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01" w:type="dxa"/>
            <w:gridSpan w:val="5"/>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35"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420" w:hRule="atLeast"/>
        </w:trPr>
        <w:tc>
          <w:tcPr>
            <w:tcW w:w="5972"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合　　　　计：</w:t>
            </w:r>
          </w:p>
        </w:tc>
        <w:tc>
          <w:tcPr>
            <w:tcW w:w="1471"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00"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585" w:type="dxa"/>
            <w:gridSpan w:val="3"/>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c>
          <w:tcPr>
            <w:tcW w:w="2401" w:type="dxa"/>
            <w:gridSpan w:val="5"/>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c>
          <w:tcPr>
            <w:tcW w:w="1635" w:type="dxa"/>
            <w:gridSpan w:val="4"/>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r>
      <w:tr>
        <w:tblPrEx>
          <w:tblCellMar>
            <w:top w:w="0" w:type="dxa"/>
            <w:left w:w="108" w:type="dxa"/>
            <w:bottom w:w="0" w:type="dxa"/>
            <w:right w:w="108" w:type="dxa"/>
          </w:tblCellMar>
        </w:tblPrEx>
        <w:trPr>
          <w:gridAfter w:val="1"/>
          <w:wAfter w:w="1336" w:type="dxa"/>
          <w:trHeight w:val="720" w:hRule="atLeast"/>
        </w:trPr>
        <w:tc>
          <w:tcPr>
            <w:tcW w:w="5972"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调拨资产原因：</w:t>
            </w:r>
          </w:p>
        </w:tc>
        <w:tc>
          <w:tcPr>
            <w:tcW w:w="8692" w:type="dxa"/>
            <w:gridSpan w:val="20"/>
            <w:tcBorders>
              <w:top w:val="single" w:color="auto" w:sz="4" w:space="0"/>
              <w:left w:val="nil"/>
              <w:bottom w:val="nil"/>
              <w:right w:val="single" w:color="000000"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600" w:hRule="atLeast"/>
        </w:trPr>
        <w:tc>
          <w:tcPr>
            <w:tcW w:w="3984" w:type="dxa"/>
            <w:gridSpan w:val="11"/>
            <w:tcBorders>
              <w:top w:val="single" w:color="auto" w:sz="4" w:space="0"/>
              <w:left w:val="single" w:color="auto" w:sz="4" w:space="0"/>
              <w:bottom w:val="nil"/>
              <w:right w:val="nil"/>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调入单位</w:t>
            </w:r>
          </w:p>
        </w:tc>
        <w:tc>
          <w:tcPr>
            <w:tcW w:w="5059" w:type="dxa"/>
            <w:gridSpan w:val="11"/>
            <w:tcBorders>
              <w:top w:val="single" w:color="auto" w:sz="4" w:space="0"/>
              <w:left w:val="single" w:color="auto" w:sz="4" w:space="0"/>
              <w:bottom w:val="nil"/>
              <w:right w:val="nil"/>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主管部门</w:t>
            </w:r>
          </w:p>
        </w:tc>
        <w:tc>
          <w:tcPr>
            <w:tcW w:w="5621" w:type="dxa"/>
            <w:gridSpan w:val="12"/>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财政部门</w:t>
            </w:r>
          </w:p>
        </w:tc>
      </w:tr>
      <w:tr>
        <w:tblPrEx>
          <w:tblCellMar>
            <w:top w:w="0" w:type="dxa"/>
            <w:left w:w="108" w:type="dxa"/>
            <w:bottom w:w="0" w:type="dxa"/>
            <w:right w:w="108" w:type="dxa"/>
          </w:tblCellMar>
        </w:tblPrEx>
        <w:trPr>
          <w:gridAfter w:val="1"/>
          <w:wAfter w:w="1336" w:type="dxa"/>
          <w:trHeight w:val="495" w:hRule="atLeast"/>
        </w:trPr>
        <w:tc>
          <w:tcPr>
            <w:tcW w:w="2289"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1695"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988"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1471"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00"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585"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2401" w:type="dxa"/>
            <w:gridSpan w:val="5"/>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35"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495" w:hRule="atLeast"/>
        </w:trPr>
        <w:tc>
          <w:tcPr>
            <w:tcW w:w="3984" w:type="dxa"/>
            <w:gridSpan w:val="11"/>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3459"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1600"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585"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2401" w:type="dxa"/>
            <w:gridSpan w:val="5"/>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35"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495" w:hRule="atLeast"/>
        </w:trPr>
        <w:tc>
          <w:tcPr>
            <w:tcW w:w="2289"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695"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988"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471"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00"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585" w:type="dxa"/>
            <w:gridSpan w:val="3"/>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2401" w:type="dxa"/>
            <w:gridSpan w:val="5"/>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35"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1"/>
          <w:wAfter w:w="1336" w:type="dxa"/>
          <w:trHeight w:val="690" w:hRule="atLeast"/>
        </w:trPr>
        <w:tc>
          <w:tcPr>
            <w:tcW w:w="1097" w:type="dxa"/>
            <w:gridSpan w:val="5"/>
            <w:tcBorders>
              <w:top w:val="nil"/>
              <w:left w:val="single" w:color="auto" w:sz="4" w:space="0"/>
              <w:bottom w:val="nil"/>
              <w:right w:val="nil"/>
            </w:tcBorders>
            <w:shd w:val="clear" w:color="auto" w:fill="auto"/>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192"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95"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（公章）</w:t>
            </w:r>
          </w:p>
        </w:tc>
        <w:tc>
          <w:tcPr>
            <w:tcW w:w="1988" w:type="dxa"/>
            <w:gridSpan w:val="3"/>
            <w:tcBorders>
              <w:top w:val="nil"/>
              <w:left w:val="single" w:color="auto" w:sz="4" w:space="0"/>
              <w:bottom w:val="nil"/>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71"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00"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（公章）</w:t>
            </w:r>
          </w:p>
        </w:tc>
        <w:tc>
          <w:tcPr>
            <w:tcW w:w="1585" w:type="dxa"/>
            <w:gridSpan w:val="3"/>
            <w:tcBorders>
              <w:top w:val="nil"/>
              <w:left w:val="single" w:color="auto" w:sz="4" w:space="0"/>
              <w:bottom w:val="nil"/>
              <w:right w:val="nil"/>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2401" w:type="dxa"/>
            <w:gridSpan w:val="5"/>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635"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（公章）</w:t>
            </w:r>
          </w:p>
        </w:tc>
      </w:tr>
      <w:tr>
        <w:tblPrEx>
          <w:tblCellMar>
            <w:top w:w="0" w:type="dxa"/>
            <w:left w:w="108" w:type="dxa"/>
            <w:bottom w:w="0" w:type="dxa"/>
            <w:right w:w="108" w:type="dxa"/>
          </w:tblCellMar>
        </w:tblPrEx>
        <w:trPr>
          <w:gridAfter w:val="1"/>
          <w:wAfter w:w="1336" w:type="dxa"/>
          <w:trHeight w:val="690" w:hRule="atLeast"/>
        </w:trPr>
        <w:tc>
          <w:tcPr>
            <w:tcW w:w="1097" w:type="dxa"/>
            <w:gridSpan w:val="5"/>
            <w:tcBorders>
              <w:top w:val="nil"/>
              <w:left w:val="single" w:color="auto" w:sz="4" w:space="0"/>
              <w:bottom w:val="single" w:color="auto" w:sz="4" w:space="0"/>
              <w:right w:val="nil"/>
            </w:tcBorders>
            <w:shd w:val="clear" w:color="auto" w:fill="auto"/>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2887" w:type="dxa"/>
            <w:gridSpan w:val="6"/>
            <w:tcBorders>
              <w:top w:val="nil"/>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年    月    日</w:t>
            </w:r>
          </w:p>
        </w:tc>
        <w:tc>
          <w:tcPr>
            <w:tcW w:w="1988" w:type="dxa"/>
            <w:gridSpan w:val="3"/>
            <w:tcBorders>
              <w:top w:val="nil"/>
              <w:left w:val="nil"/>
              <w:bottom w:val="single" w:color="auto" w:sz="4" w:space="0"/>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071" w:type="dxa"/>
            <w:gridSpan w:val="8"/>
            <w:tcBorders>
              <w:top w:val="nil"/>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年    月    日</w:t>
            </w:r>
          </w:p>
        </w:tc>
        <w:tc>
          <w:tcPr>
            <w:tcW w:w="1585" w:type="dxa"/>
            <w:gridSpan w:val="3"/>
            <w:tcBorders>
              <w:top w:val="nil"/>
              <w:left w:val="nil"/>
              <w:bottom w:val="single" w:color="auto" w:sz="4" w:space="0"/>
              <w:right w:val="nil"/>
            </w:tcBorders>
            <w:shd w:val="clear" w:color="auto" w:fill="auto"/>
            <w:vAlign w:val="center"/>
          </w:tcPr>
          <w:p>
            <w:pPr>
              <w:widowControl/>
              <w:jc w:val="righ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4036" w:type="dxa"/>
            <w:gridSpan w:val="9"/>
            <w:tcBorders>
              <w:top w:val="nil"/>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年    月    日</w:t>
            </w:r>
          </w:p>
        </w:tc>
      </w:tr>
      <w:tr>
        <w:tblPrEx>
          <w:tblCellMar>
            <w:top w:w="0" w:type="dxa"/>
            <w:left w:w="108" w:type="dxa"/>
            <w:bottom w:w="0" w:type="dxa"/>
            <w:right w:w="108" w:type="dxa"/>
          </w:tblCellMar>
        </w:tblPrEx>
        <w:trPr>
          <w:gridAfter w:val="1"/>
          <w:wAfter w:w="1336" w:type="dxa"/>
          <w:trHeight w:val="270" w:hRule="atLeast"/>
        </w:trPr>
        <w:tc>
          <w:tcPr>
            <w:tcW w:w="9043" w:type="dxa"/>
            <w:gridSpan w:val="22"/>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备注：1.本表由调入单位通过“山东省行政事业资产管理信息系统”政府公物仓模块填制打印并上报。</w:t>
            </w:r>
          </w:p>
        </w:tc>
        <w:tc>
          <w:tcPr>
            <w:tcW w:w="1585" w:type="dxa"/>
            <w:gridSpan w:val="3"/>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2401" w:type="dxa"/>
            <w:gridSpan w:val="5"/>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35"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gridAfter w:val="1"/>
          <w:wAfter w:w="1336" w:type="dxa"/>
          <w:trHeight w:val="270" w:hRule="atLeast"/>
        </w:trPr>
        <w:tc>
          <w:tcPr>
            <w:tcW w:w="7443" w:type="dxa"/>
            <w:gridSpan w:val="18"/>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2.本表一式四联，调入单位、主管部门、财政部门、政府公物仓各一联。</w:t>
            </w:r>
          </w:p>
        </w:tc>
        <w:tc>
          <w:tcPr>
            <w:tcW w:w="1600" w:type="dxa"/>
            <w:gridSpan w:val="4"/>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1585" w:type="dxa"/>
            <w:gridSpan w:val="3"/>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2401" w:type="dxa"/>
            <w:gridSpan w:val="5"/>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35"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gridAfter w:val="2"/>
          <w:wAfter w:w="1879" w:type="dxa"/>
          <w:trHeight w:val="780" w:hRule="atLeast"/>
        </w:trPr>
        <w:tc>
          <w:tcPr>
            <w:tcW w:w="14121" w:type="dxa"/>
            <w:gridSpan w:val="33"/>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附件3</w:t>
            </w:r>
          </w:p>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山东省省级政府公物仓资产借用单</w:t>
            </w:r>
          </w:p>
        </w:tc>
      </w:tr>
      <w:tr>
        <w:tblPrEx>
          <w:tblCellMar>
            <w:top w:w="0" w:type="dxa"/>
            <w:left w:w="108" w:type="dxa"/>
            <w:bottom w:w="0" w:type="dxa"/>
            <w:right w:w="108" w:type="dxa"/>
          </w:tblCellMar>
        </w:tblPrEx>
        <w:trPr>
          <w:gridAfter w:val="2"/>
          <w:wAfter w:w="1879" w:type="dxa"/>
          <w:trHeight w:val="379" w:hRule="atLeast"/>
        </w:trPr>
        <w:tc>
          <w:tcPr>
            <w:tcW w:w="654" w:type="dxa"/>
            <w:gridSpan w:val="2"/>
            <w:tcBorders>
              <w:top w:val="nil"/>
              <w:left w:val="nil"/>
              <w:bottom w:val="nil"/>
              <w:right w:val="nil"/>
            </w:tcBorders>
            <w:shd w:val="clear" w:color="auto" w:fill="auto"/>
            <w:noWrap/>
            <w:vAlign w:val="center"/>
          </w:tcPr>
          <w:p>
            <w:pPr>
              <w:widowControl/>
              <w:jc w:val="left"/>
              <w:rPr>
                <w:rFonts w:ascii="黑体" w:hAnsi="黑体" w:eastAsia="黑体" w:cs="宋体"/>
                <w:color w:val="000000"/>
                <w:kern w:val="0"/>
                <w:sz w:val="22"/>
                <w:szCs w:val="22"/>
              </w:rPr>
            </w:pPr>
          </w:p>
        </w:tc>
        <w:tc>
          <w:tcPr>
            <w:tcW w:w="1239"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641"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2295" w:type="dxa"/>
            <w:gridSpan w:val="4"/>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p>
        </w:tc>
        <w:tc>
          <w:tcPr>
            <w:tcW w:w="1640" w:type="dxa"/>
            <w:gridSpan w:val="6"/>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p>
        </w:tc>
        <w:tc>
          <w:tcPr>
            <w:tcW w:w="1574" w:type="dxa"/>
            <w:gridSpan w:val="3"/>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p>
        </w:tc>
        <w:tc>
          <w:tcPr>
            <w:tcW w:w="5078" w:type="dxa"/>
            <w:gridSpan w:val="11"/>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金额单位：元      第     号</w:t>
            </w:r>
          </w:p>
        </w:tc>
      </w:tr>
      <w:tr>
        <w:tblPrEx>
          <w:tblCellMar>
            <w:top w:w="0" w:type="dxa"/>
            <w:left w:w="108" w:type="dxa"/>
            <w:bottom w:w="0" w:type="dxa"/>
            <w:right w:w="108" w:type="dxa"/>
          </w:tblCellMar>
        </w:tblPrEx>
        <w:trPr>
          <w:gridAfter w:val="2"/>
          <w:wAfter w:w="1879" w:type="dxa"/>
          <w:trHeight w:val="600" w:hRule="atLeast"/>
        </w:trPr>
        <w:tc>
          <w:tcPr>
            <w:tcW w:w="65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序号</w:t>
            </w:r>
          </w:p>
        </w:tc>
        <w:tc>
          <w:tcPr>
            <w:tcW w:w="1239"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资产编号</w:t>
            </w:r>
          </w:p>
        </w:tc>
        <w:tc>
          <w:tcPr>
            <w:tcW w:w="1641"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资产分类</w:t>
            </w:r>
          </w:p>
        </w:tc>
        <w:tc>
          <w:tcPr>
            <w:tcW w:w="2295"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品牌、规格型号</w:t>
            </w:r>
          </w:p>
        </w:tc>
        <w:tc>
          <w:tcPr>
            <w:tcW w:w="1640"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账面原值</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账面净值</w:t>
            </w:r>
          </w:p>
        </w:tc>
        <w:tc>
          <w:tcPr>
            <w:tcW w:w="161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入账日期</w:t>
            </w:r>
          </w:p>
        </w:tc>
        <w:tc>
          <w:tcPr>
            <w:tcW w:w="173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借用时间</w:t>
            </w:r>
          </w:p>
        </w:tc>
        <w:tc>
          <w:tcPr>
            <w:tcW w:w="1732"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归还时间</w:t>
            </w:r>
          </w:p>
        </w:tc>
      </w:tr>
      <w:tr>
        <w:tblPrEx>
          <w:tblCellMar>
            <w:top w:w="0" w:type="dxa"/>
            <w:left w:w="108" w:type="dxa"/>
            <w:bottom w:w="0" w:type="dxa"/>
            <w:right w:w="108" w:type="dxa"/>
          </w:tblCellMar>
        </w:tblPrEx>
        <w:trPr>
          <w:gridAfter w:val="2"/>
          <w:wAfter w:w="1879" w:type="dxa"/>
          <w:trHeight w:val="420" w:hRule="atLeast"/>
        </w:trPr>
        <w:tc>
          <w:tcPr>
            <w:tcW w:w="654"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39"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4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95"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40" w:type="dxa"/>
            <w:gridSpan w:val="6"/>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74"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14"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32"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gridAfter w:val="2"/>
          <w:wAfter w:w="1879" w:type="dxa"/>
          <w:trHeight w:val="420" w:hRule="atLeast"/>
        </w:trPr>
        <w:tc>
          <w:tcPr>
            <w:tcW w:w="654"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39"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4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95"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40" w:type="dxa"/>
            <w:gridSpan w:val="6"/>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74"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14"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32" w:type="dxa"/>
            <w:gridSpan w:val="4"/>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gridAfter w:val="2"/>
          <w:wAfter w:w="1879" w:type="dxa"/>
          <w:trHeight w:val="420" w:hRule="atLeast"/>
        </w:trPr>
        <w:tc>
          <w:tcPr>
            <w:tcW w:w="5829" w:type="dxa"/>
            <w:gridSpan w:val="1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合　　  　计：</w:t>
            </w:r>
          </w:p>
        </w:tc>
        <w:tc>
          <w:tcPr>
            <w:tcW w:w="1640" w:type="dxa"/>
            <w:gridSpan w:val="6"/>
            <w:tcBorders>
              <w:top w:val="nil"/>
              <w:left w:val="nil"/>
              <w:bottom w:val="single" w:color="auto" w:sz="4" w:space="0"/>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574"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614"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c>
          <w:tcPr>
            <w:tcW w:w="173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c>
          <w:tcPr>
            <w:tcW w:w="1732"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r>
      <w:tr>
        <w:tblPrEx>
          <w:tblCellMar>
            <w:top w:w="0" w:type="dxa"/>
            <w:left w:w="108" w:type="dxa"/>
            <w:bottom w:w="0" w:type="dxa"/>
            <w:right w:w="108" w:type="dxa"/>
          </w:tblCellMar>
        </w:tblPrEx>
        <w:trPr>
          <w:gridAfter w:val="2"/>
          <w:wAfter w:w="1879" w:type="dxa"/>
          <w:trHeight w:val="750" w:hRule="atLeast"/>
        </w:trPr>
        <w:tc>
          <w:tcPr>
            <w:tcW w:w="5829" w:type="dxa"/>
            <w:gridSpan w:val="1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借用资产原因：</w:t>
            </w:r>
          </w:p>
        </w:tc>
        <w:tc>
          <w:tcPr>
            <w:tcW w:w="8292" w:type="dxa"/>
            <w:gridSpan w:val="20"/>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gridAfter w:val="2"/>
          <w:wAfter w:w="1879" w:type="dxa"/>
          <w:trHeight w:val="600" w:hRule="atLeast"/>
        </w:trPr>
        <w:tc>
          <w:tcPr>
            <w:tcW w:w="3534" w:type="dxa"/>
            <w:gridSpan w:val="9"/>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借用单位</w:t>
            </w:r>
          </w:p>
        </w:tc>
        <w:tc>
          <w:tcPr>
            <w:tcW w:w="5509" w:type="dxa"/>
            <w:gridSpan w:val="13"/>
            <w:tcBorders>
              <w:top w:val="single" w:color="auto" w:sz="4" w:space="0"/>
              <w:left w:val="nil"/>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主管部门</w:t>
            </w:r>
          </w:p>
        </w:tc>
        <w:tc>
          <w:tcPr>
            <w:tcW w:w="5078" w:type="dxa"/>
            <w:gridSpan w:val="11"/>
            <w:tcBorders>
              <w:top w:val="single" w:color="auto" w:sz="4" w:space="0"/>
              <w:left w:val="nil"/>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财政部门</w:t>
            </w:r>
          </w:p>
        </w:tc>
      </w:tr>
      <w:tr>
        <w:tblPrEx>
          <w:tblCellMar>
            <w:top w:w="0" w:type="dxa"/>
            <w:left w:w="108" w:type="dxa"/>
            <w:bottom w:w="0" w:type="dxa"/>
            <w:right w:w="108" w:type="dxa"/>
          </w:tblCellMar>
        </w:tblPrEx>
        <w:trPr>
          <w:gridAfter w:val="2"/>
          <w:wAfter w:w="1879" w:type="dxa"/>
          <w:trHeight w:val="480" w:hRule="atLeast"/>
        </w:trPr>
        <w:tc>
          <w:tcPr>
            <w:tcW w:w="1893" w:type="dxa"/>
            <w:gridSpan w:val="6"/>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1641" w:type="dxa"/>
            <w:gridSpan w:val="3"/>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2295"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单位负责人：</w:t>
            </w:r>
          </w:p>
        </w:tc>
        <w:tc>
          <w:tcPr>
            <w:tcW w:w="1640" w:type="dxa"/>
            <w:gridSpan w:val="6"/>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574" w:type="dxa"/>
            <w:gridSpan w:val="3"/>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14"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732" w:type="dxa"/>
            <w:gridSpan w:val="3"/>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732" w:type="dxa"/>
            <w:gridSpan w:val="4"/>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2"/>
          <w:wAfter w:w="1879" w:type="dxa"/>
          <w:trHeight w:val="480" w:hRule="atLeast"/>
        </w:trPr>
        <w:tc>
          <w:tcPr>
            <w:tcW w:w="3534" w:type="dxa"/>
            <w:gridSpan w:val="9"/>
            <w:tcBorders>
              <w:top w:val="nil"/>
              <w:left w:val="single" w:color="auto" w:sz="4" w:space="0"/>
              <w:bottom w:val="nil"/>
              <w:right w:val="single" w:color="000000"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3935" w:type="dxa"/>
            <w:gridSpan w:val="10"/>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资产管理机构负责人：</w:t>
            </w:r>
          </w:p>
        </w:tc>
        <w:tc>
          <w:tcPr>
            <w:tcW w:w="1574" w:type="dxa"/>
            <w:gridSpan w:val="3"/>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14"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732" w:type="dxa"/>
            <w:gridSpan w:val="3"/>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732" w:type="dxa"/>
            <w:gridSpan w:val="4"/>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2"/>
          <w:wAfter w:w="1879" w:type="dxa"/>
          <w:trHeight w:val="480" w:hRule="atLeast"/>
        </w:trPr>
        <w:tc>
          <w:tcPr>
            <w:tcW w:w="1893" w:type="dxa"/>
            <w:gridSpan w:val="6"/>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641" w:type="dxa"/>
            <w:gridSpan w:val="3"/>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2295"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640" w:type="dxa"/>
            <w:gridSpan w:val="6"/>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574" w:type="dxa"/>
            <w:gridSpan w:val="3"/>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1614" w:type="dxa"/>
            <w:gridSpan w:val="4"/>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732" w:type="dxa"/>
            <w:gridSpan w:val="3"/>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p>
        </w:tc>
        <w:tc>
          <w:tcPr>
            <w:tcW w:w="1732" w:type="dxa"/>
            <w:gridSpan w:val="4"/>
            <w:tcBorders>
              <w:top w:val="nil"/>
              <w:left w:val="nil"/>
              <w:bottom w:val="nil"/>
              <w:right w:val="single" w:color="auto"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r>
      <w:tr>
        <w:tblPrEx>
          <w:tblCellMar>
            <w:top w:w="0" w:type="dxa"/>
            <w:left w:w="108" w:type="dxa"/>
            <w:bottom w:w="0" w:type="dxa"/>
            <w:right w:w="108" w:type="dxa"/>
          </w:tblCellMar>
        </w:tblPrEx>
        <w:trPr>
          <w:gridAfter w:val="2"/>
          <w:wAfter w:w="1879" w:type="dxa"/>
          <w:trHeight w:val="690" w:hRule="atLeast"/>
        </w:trPr>
        <w:tc>
          <w:tcPr>
            <w:tcW w:w="654"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880" w:type="dxa"/>
            <w:gridSpan w:val="7"/>
            <w:tcBorders>
              <w:top w:val="nil"/>
              <w:left w:val="nil"/>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（公章）</w:t>
            </w:r>
          </w:p>
        </w:tc>
        <w:tc>
          <w:tcPr>
            <w:tcW w:w="2295" w:type="dxa"/>
            <w:gridSpan w:val="4"/>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3214" w:type="dxa"/>
            <w:gridSpan w:val="9"/>
            <w:tcBorders>
              <w:top w:val="nil"/>
              <w:left w:val="nil"/>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（公章）</w:t>
            </w:r>
          </w:p>
        </w:tc>
        <w:tc>
          <w:tcPr>
            <w:tcW w:w="1614" w:type="dxa"/>
            <w:gridSpan w:val="4"/>
            <w:tcBorders>
              <w:top w:val="nil"/>
              <w:left w:val="nil"/>
              <w:bottom w:val="nil"/>
              <w:right w:val="nil"/>
            </w:tcBorders>
            <w:shd w:val="clear" w:color="auto" w:fill="auto"/>
            <w:vAlign w:val="center"/>
          </w:tcPr>
          <w:p>
            <w:pPr>
              <w:widowControl/>
              <w:jc w:val="right"/>
              <w:rPr>
                <w:rFonts w:ascii="黑体" w:hAnsi="黑体" w:eastAsia="黑体" w:cs="宋体"/>
                <w:color w:val="000000"/>
                <w:kern w:val="0"/>
                <w:sz w:val="22"/>
                <w:szCs w:val="22"/>
              </w:rPr>
            </w:pPr>
          </w:p>
        </w:tc>
        <w:tc>
          <w:tcPr>
            <w:tcW w:w="3464" w:type="dxa"/>
            <w:gridSpan w:val="7"/>
            <w:tcBorders>
              <w:top w:val="nil"/>
              <w:left w:val="nil"/>
              <w:bottom w:val="nil"/>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（公章）</w:t>
            </w:r>
          </w:p>
        </w:tc>
      </w:tr>
      <w:tr>
        <w:tblPrEx>
          <w:tblCellMar>
            <w:top w:w="0" w:type="dxa"/>
            <w:left w:w="108" w:type="dxa"/>
            <w:bottom w:w="0" w:type="dxa"/>
            <w:right w:w="108" w:type="dxa"/>
          </w:tblCellMar>
        </w:tblPrEx>
        <w:trPr>
          <w:gridAfter w:val="2"/>
          <w:wAfter w:w="1879" w:type="dxa"/>
          <w:trHeight w:val="690" w:hRule="atLeast"/>
        </w:trPr>
        <w:tc>
          <w:tcPr>
            <w:tcW w:w="654" w:type="dxa"/>
            <w:gridSpan w:val="2"/>
            <w:tcBorders>
              <w:top w:val="nil"/>
              <w:left w:val="single" w:color="auto" w:sz="4" w:space="0"/>
              <w:bottom w:val="single" w:color="auto" w:sz="4" w:space="0"/>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880" w:type="dxa"/>
            <w:gridSpan w:val="7"/>
            <w:tcBorders>
              <w:top w:val="nil"/>
              <w:left w:val="nil"/>
              <w:bottom w:val="single" w:color="auto" w:sz="4" w:space="0"/>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年    月    日</w:t>
            </w:r>
          </w:p>
        </w:tc>
        <w:tc>
          <w:tcPr>
            <w:tcW w:w="2295" w:type="dxa"/>
            <w:gridSpan w:val="4"/>
            <w:tcBorders>
              <w:top w:val="nil"/>
              <w:left w:val="nil"/>
              <w:bottom w:val="single" w:color="auto" w:sz="4" w:space="0"/>
              <w:right w:val="nil"/>
            </w:tcBorders>
            <w:shd w:val="clear" w:color="auto" w:fill="auto"/>
            <w:vAlign w:val="center"/>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3214" w:type="dxa"/>
            <w:gridSpan w:val="9"/>
            <w:tcBorders>
              <w:top w:val="nil"/>
              <w:left w:val="nil"/>
              <w:bottom w:val="single" w:color="auto" w:sz="4" w:space="0"/>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年    月    日</w:t>
            </w:r>
          </w:p>
        </w:tc>
        <w:tc>
          <w:tcPr>
            <w:tcW w:w="1614" w:type="dxa"/>
            <w:gridSpan w:val="4"/>
            <w:tcBorders>
              <w:top w:val="nil"/>
              <w:left w:val="nil"/>
              <w:bottom w:val="single" w:color="auto" w:sz="4" w:space="0"/>
              <w:right w:val="nil"/>
            </w:tcBorders>
            <w:shd w:val="clear" w:color="auto" w:fill="auto"/>
            <w:vAlign w:val="center"/>
          </w:tcPr>
          <w:p>
            <w:pPr>
              <w:widowControl/>
              <w:jc w:val="right"/>
              <w:rPr>
                <w:rFonts w:ascii="黑体" w:hAnsi="黑体" w:eastAsia="黑体" w:cs="宋体"/>
                <w:color w:val="000000"/>
                <w:kern w:val="0"/>
                <w:sz w:val="22"/>
                <w:szCs w:val="22"/>
              </w:rPr>
            </w:pPr>
            <w:r>
              <w:rPr>
                <w:rFonts w:hint="eastAsia" w:ascii="黑体" w:hAnsi="黑体" w:eastAsia="黑体" w:cs="宋体"/>
                <w:color w:val="000000"/>
                <w:kern w:val="0"/>
                <w:sz w:val="22"/>
                <w:szCs w:val="22"/>
              </w:rPr>
              <w:t>　</w:t>
            </w:r>
          </w:p>
        </w:tc>
        <w:tc>
          <w:tcPr>
            <w:tcW w:w="3464" w:type="dxa"/>
            <w:gridSpan w:val="7"/>
            <w:tcBorders>
              <w:top w:val="nil"/>
              <w:left w:val="nil"/>
              <w:bottom w:val="single" w:color="auto" w:sz="4" w:space="0"/>
              <w:right w:val="single" w:color="000000" w:sz="4" w:space="0"/>
            </w:tcBorders>
            <w:shd w:val="clear" w:color="auto" w:fill="auto"/>
            <w:vAlign w:val="center"/>
          </w:tcPr>
          <w:p>
            <w:pPr>
              <w:widowControl/>
              <w:jc w:val="center"/>
              <w:rPr>
                <w:rFonts w:ascii="黑体" w:hAnsi="黑体" w:eastAsia="黑体" w:cs="宋体"/>
                <w:color w:val="000000"/>
                <w:kern w:val="0"/>
                <w:sz w:val="22"/>
                <w:szCs w:val="22"/>
              </w:rPr>
            </w:pPr>
            <w:r>
              <w:rPr>
                <w:rFonts w:hint="eastAsia" w:ascii="黑体" w:hAnsi="黑体" w:eastAsia="黑体" w:cs="宋体"/>
                <w:color w:val="000000"/>
                <w:kern w:val="0"/>
                <w:sz w:val="22"/>
                <w:szCs w:val="22"/>
              </w:rPr>
              <w:t xml:space="preserve">      年    月    日</w:t>
            </w:r>
          </w:p>
        </w:tc>
      </w:tr>
      <w:tr>
        <w:tblPrEx>
          <w:tblCellMar>
            <w:top w:w="0" w:type="dxa"/>
            <w:left w:w="108" w:type="dxa"/>
            <w:bottom w:w="0" w:type="dxa"/>
            <w:right w:w="108" w:type="dxa"/>
          </w:tblCellMar>
        </w:tblPrEx>
        <w:trPr>
          <w:gridAfter w:val="2"/>
          <w:wAfter w:w="1879" w:type="dxa"/>
          <w:trHeight w:val="282" w:hRule="atLeast"/>
        </w:trPr>
        <w:tc>
          <w:tcPr>
            <w:tcW w:w="9043" w:type="dxa"/>
            <w:gridSpan w:val="22"/>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备注：1.本表由借用单位通过“山东省行政事业资产管理信息系统”政府公物仓模块填制打印并上报。</w:t>
            </w:r>
          </w:p>
        </w:tc>
        <w:tc>
          <w:tcPr>
            <w:tcW w:w="1614" w:type="dxa"/>
            <w:gridSpan w:val="4"/>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1732"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732"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gridAfter w:val="2"/>
          <w:wAfter w:w="1879" w:type="dxa"/>
          <w:trHeight w:val="270" w:hRule="atLeast"/>
        </w:trPr>
        <w:tc>
          <w:tcPr>
            <w:tcW w:w="7469" w:type="dxa"/>
            <w:gridSpan w:val="19"/>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2.本表一式四联，借用单位、主管部门、财政部门、政府公物仓各一联。</w:t>
            </w:r>
          </w:p>
        </w:tc>
        <w:tc>
          <w:tcPr>
            <w:tcW w:w="1574" w:type="dxa"/>
            <w:gridSpan w:val="3"/>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1614" w:type="dxa"/>
            <w:gridSpan w:val="4"/>
            <w:tcBorders>
              <w:top w:val="nil"/>
              <w:left w:val="nil"/>
              <w:bottom w:val="nil"/>
              <w:right w:val="nil"/>
            </w:tcBorders>
            <w:shd w:val="clear" w:color="auto" w:fill="auto"/>
            <w:noWrap/>
          </w:tcPr>
          <w:p>
            <w:pPr>
              <w:widowControl/>
              <w:jc w:val="left"/>
              <w:rPr>
                <w:rFonts w:ascii="宋体" w:hAnsi="宋体" w:eastAsia="宋体" w:cs="宋体"/>
                <w:color w:val="000000"/>
                <w:kern w:val="0"/>
                <w:sz w:val="20"/>
                <w:szCs w:val="20"/>
              </w:rPr>
            </w:pPr>
          </w:p>
        </w:tc>
        <w:tc>
          <w:tcPr>
            <w:tcW w:w="1732"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732" w:type="dxa"/>
            <w:gridSpan w:val="4"/>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gridBefore w:val="1"/>
          <w:gridAfter w:val="4"/>
          <w:wBefore w:w="6" w:type="dxa"/>
          <w:wAfter w:w="2234" w:type="dxa"/>
          <w:trHeight w:val="642" w:hRule="atLeast"/>
        </w:trPr>
        <w:tc>
          <w:tcPr>
            <w:tcW w:w="13760" w:type="dxa"/>
            <w:gridSpan w:val="30"/>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jc w:val="center"/>
              <w:rPr>
                <w:rFonts w:ascii="方正小标宋简体" w:hAnsi="宋体" w:eastAsia="方正小标宋简体" w:cs="宋体"/>
                <w:kern w:val="0"/>
                <w:sz w:val="36"/>
                <w:szCs w:val="36"/>
              </w:rPr>
            </w:pPr>
          </w:p>
          <w:p>
            <w:pPr>
              <w:widowControl/>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附件4</w:t>
            </w:r>
          </w:p>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山东省省级政府公物仓资产处置单</w:t>
            </w:r>
          </w:p>
        </w:tc>
      </w:tr>
      <w:tr>
        <w:tblPrEx>
          <w:tblCellMar>
            <w:top w:w="0" w:type="dxa"/>
            <w:left w:w="108" w:type="dxa"/>
            <w:bottom w:w="0" w:type="dxa"/>
            <w:right w:w="108" w:type="dxa"/>
          </w:tblCellMar>
        </w:tblPrEx>
        <w:trPr>
          <w:gridBefore w:val="1"/>
          <w:gridAfter w:val="4"/>
          <w:wBefore w:w="6" w:type="dxa"/>
          <w:wAfter w:w="2234" w:type="dxa"/>
          <w:trHeight w:val="379" w:hRule="atLeast"/>
        </w:trPr>
        <w:tc>
          <w:tcPr>
            <w:tcW w:w="13760" w:type="dxa"/>
            <w:gridSpan w:val="30"/>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金额单位：元       第      号</w:t>
            </w:r>
          </w:p>
        </w:tc>
      </w:tr>
      <w:tr>
        <w:tblPrEx>
          <w:tblCellMar>
            <w:top w:w="0" w:type="dxa"/>
            <w:left w:w="108" w:type="dxa"/>
            <w:bottom w:w="0" w:type="dxa"/>
            <w:right w:w="108" w:type="dxa"/>
          </w:tblCellMar>
        </w:tblPrEx>
        <w:trPr>
          <w:gridBefore w:val="1"/>
          <w:gridAfter w:val="4"/>
          <w:wBefore w:w="6" w:type="dxa"/>
          <w:wAfter w:w="2234" w:type="dxa"/>
          <w:trHeight w:val="300" w:hRule="atLeast"/>
        </w:trPr>
        <w:tc>
          <w:tcPr>
            <w:tcW w:w="88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序号</w:t>
            </w:r>
          </w:p>
        </w:tc>
        <w:tc>
          <w:tcPr>
            <w:tcW w:w="208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资产编号</w:t>
            </w:r>
          </w:p>
        </w:tc>
        <w:tc>
          <w:tcPr>
            <w:tcW w:w="192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资产分类</w:t>
            </w:r>
          </w:p>
        </w:tc>
        <w:tc>
          <w:tcPr>
            <w:tcW w:w="192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品牌、规格型号</w:t>
            </w:r>
          </w:p>
        </w:tc>
        <w:tc>
          <w:tcPr>
            <w:tcW w:w="1660"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购建时间</w:t>
            </w:r>
          </w:p>
        </w:tc>
        <w:tc>
          <w:tcPr>
            <w:tcW w:w="166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资产原值</w:t>
            </w:r>
          </w:p>
        </w:tc>
        <w:tc>
          <w:tcPr>
            <w:tcW w:w="166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资产净值</w:t>
            </w:r>
          </w:p>
        </w:tc>
        <w:tc>
          <w:tcPr>
            <w:tcW w:w="198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备注</w:t>
            </w:r>
          </w:p>
        </w:tc>
      </w:tr>
      <w:tr>
        <w:tblPrEx>
          <w:tblCellMar>
            <w:top w:w="0" w:type="dxa"/>
            <w:left w:w="108" w:type="dxa"/>
            <w:bottom w:w="0" w:type="dxa"/>
            <w:right w:w="108" w:type="dxa"/>
          </w:tblCellMar>
        </w:tblPrEx>
        <w:trPr>
          <w:gridBefore w:val="1"/>
          <w:gridAfter w:val="4"/>
          <w:wBefore w:w="6" w:type="dxa"/>
          <w:wAfter w:w="2234" w:type="dxa"/>
          <w:trHeight w:val="300" w:hRule="atLeast"/>
        </w:trPr>
        <w:tc>
          <w:tcPr>
            <w:tcW w:w="8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208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92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92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660"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66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66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c>
          <w:tcPr>
            <w:tcW w:w="198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 w:val="22"/>
                <w:szCs w:val="22"/>
              </w:rPr>
            </w:pPr>
          </w:p>
        </w:tc>
      </w:tr>
      <w:tr>
        <w:tblPrEx>
          <w:tblCellMar>
            <w:top w:w="0" w:type="dxa"/>
            <w:left w:w="108" w:type="dxa"/>
            <w:bottom w:w="0" w:type="dxa"/>
            <w:right w:w="108" w:type="dxa"/>
          </w:tblCellMar>
        </w:tblPrEx>
        <w:trPr>
          <w:gridBefore w:val="1"/>
          <w:gridAfter w:val="4"/>
          <w:wBefore w:w="6" w:type="dxa"/>
          <w:wAfter w:w="2234" w:type="dxa"/>
          <w:trHeight w:val="420" w:hRule="atLeast"/>
        </w:trPr>
        <w:tc>
          <w:tcPr>
            <w:tcW w:w="880" w:type="dxa"/>
            <w:gridSpan w:val="3"/>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2080" w:type="dxa"/>
            <w:gridSpan w:val="4"/>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5"/>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c>
          <w:tcPr>
            <w:tcW w:w="1980" w:type="dxa"/>
            <w:gridSpan w:val="4"/>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420" w:hRule="atLeast"/>
        </w:trPr>
        <w:tc>
          <w:tcPr>
            <w:tcW w:w="880" w:type="dxa"/>
            <w:gridSpan w:val="3"/>
            <w:tcBorders>
              <w:top w:val="nil"/>
              <w:left w:val="single" w:color="auto" w:sz="4" w:space="0"/>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208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5"/>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8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420" w:hRule="atLeast"/>
        </w:trPr>
        <w:tc>
          <w:tcPr>
            <w:tcW w:w="880" w:type="dxa"/>
            <w:gridSpan w:val="3"/>
            <w:tcBorders>
              <w:top w:val="nil"/>
              <w:left w:val="single" w:color="auto" w:sz="4" w:space="0"/>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208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2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5"/>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3"/>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80" w:type="dxa"/>
            <w:gridSpan w:val="4"/>
            <w:tcBorders>
              <w:top w:val="nil"/>
              <w:left w:val="nil"/>
              <w:bottom w:val="single" w:color="auto" w:sz="4" w:space="0"/>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420" w:hRule="atLeast"/>
        </w:trPr>
        <w:tc>
          <w:tcPr>
            <w:tcW w:w="8460" w:type="dxa"/>
            <w:gridSpan w:val="20"/>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合             计：</w:t>
            </w:r>
          </w:p>
        </w:tc>
        <w:tc>
          <w:tcPr>
            <w:tcW w:w="1660" w:type="dxa"/>
            <w:gridSpan w:val="3"/>
            <w:tcBorders>
              <w:top w:val="nil"/>
              <w:left w:val="nil"/>
              <w:bottom w:val="nil"/>
              <w:right w:val="single" w:color="auto" w:sz="4" w:space="0"/>
            </w:tcBorders>
            <w:shd w:val="clear" w:color="auto" w:fill="auto"/>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60" w:type="dxa"/>
            <w:gridSpan w:val="3"/>
            <w:tcBorders>
              <w:top w:val="nil"/>
              <w:left w:val="nil"/>
              <w:bottom w:val="nil"/>
              <w:right w:val="single" w:color="auto" w:sz="4" w:space="0"/>
            </w:tcBorders>
            <w:shd w:val="clear" w:color="auto" w:fill="auto"/>
          </w:tcPr>
          <w:p>
            <w:pPr>
              <w:widowControl/>
              <w:rPr>
                <w:rFonts w:ascii="宋体" w:hAnsi="宋体" w:eastAsia="宋体" w:cs="宋体"/>
                <w:kern w:val="0"/>
                <w:sz w:val="22"/>
                <w:szCs w:val="22"/>
              </w:rPr>
            </w:pPr>
            <w:r>
              <w:rPr>
                <w:rFonts w:hint="eastAsia" w:ascii="宋体" w:hAnsi="宋体" w:eastAsia="宋体" w:cs="宋体"/>
                <w:kern w:val="0"/>
                <w:sz w:val="22"/>
                <w:szCs w:val="22"/>
              </w:rPr>
              <w:t>　</w:t>
            </w:r>
          </w:p>
        </w:tc>
        <w:tc>
          <w:tcPr>
            <w:tcW w:w="1980" w:type="dxa"/>
            <w:gridSpan w:val="4"/>
            <w:tcBorders>
              <w:top w:val="nil"/>
              <w:left w:val="nil"/>
              <w:bottom w:val="nil"/>
              <w:right w:val="single" w:color="auto" w:sz="4" w:space="0"/>
            </w:tcBorders>
            <w:shd w:val="clear" w:color="auto" w:fill="auto"/>
            <w:noWrap/>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w:t>
            </w:r>
          </w:p>
        </w:tc>
      </w:tr>
      <w:tr>
        <w:tblPrEx>
          <w:tblCellMar>
            <w:top w:w="0" w:type="dxa"/>
            <w:left w:w="108" w:type="dxa"/>
            <w:bottom w:w="0" w:type="dxa"/>
            <w:right w:w="108" w:type="dxa"/>
          </w:tblCellMar>
        </w:tblPrEx>
        <w:trPr>
          <w:gridBefore w:val="1"/>
          <w:gridAfter w:val="4"/>
          <w:wBefore w:w="6" w:type="dxa"/>
          <w:wAfter w:w="2234" w:type="dxa"/>
          <w:trHeight w:val="600" w:hRule="atLeast"/>
        </w:trPr>
        <w:tc>
          <w:tcPr>
            <w:tcW w:w="6800" w:type="dxa"/>
            <w:gridSpan w:val="15"/>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政府公物仓</w:t>
            </w:r>
          </w:p>
        </w:tc>
        <w:tc>
          <w:tcPr>
            <w:tcW w:w="6960" w:type="dxa"/>
            <w:gridSpan w:val="15"/>
            <w:tcBorders>
              <w:top w:val="single" w:color="auto" w:sz="4" w:space="0"/>
              <w:left w:val="nil"/>
              <w:bottom w:val="nil"/>
              <w:right w:val="single" w:color="000000"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财政部门</w:t>
            </w:r>
          </w:p>
        </w:tc>
      </w:tr>
      <w:tr>
        <w:tblPrEx>
          <w:tblCellMar>
            <w:top w:w="0" w:type="dxa"/>
            <w:left w:w="108" w:type="dxa"/>
            <w:bottom w:w="0" w:type="dxa"/>
            <w:right w:w="108" w:type="dxa"/>
          </w:tblCellMar>
        </w:tblPrEx>
        <w:trPr>
          <w:gridBefore w:val="1"/>
          <w:gridAfter w:val="4"/>
          <w:wBefore w:w="6" w:type="dxa"/>
          <w:wAfter w:w="2234" w:type="dxa"/>
          <w:trHeight w:val="480" w:hRule="atLeast"/>
        </w:trPr>
        <w:tc>
          <w:tcPr>
            <w:tcW w:w="2960"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政府公物仓负责人：</w:t>
            </w:r>
          </w:p>
        </w:tc>
        <w:tc>
          <w:tcPr>
            <w:tcW w:w="192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5"/>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8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480" w:hRule="atLeast"/>
        </w:trPr>
        <w:tc>
          <w:tcPr>
            <w:tcW w:w="880" w:type="dxa"/>
            <w:gridSpan w:val="3"/>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208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5"/>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8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480" w:hRule="atLeast"/>
        </w:trPr>
        <w:tc>
          <w:tcPr>
            <w:tcW w:w="2960" w:type="dxa"/>
            <w:gridSpan w:val="7"/>
            <w:tcBorders>
              <w:top w:val="nil"/>
              <w:left w:val="single" w:color="auto" w:sz="4" w:space="0"/>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经办人员：</w:t>
            </w:r>
          </w:p>
        </w:tc>
        <w:tc>
          <w:tcPr>
            <w:tcW w:w="192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5"/>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80" w:type="dxa"/>
            <w:gridSpan w:val="4"/>
            <w:tcBorders>
              <w:top w:val="nil"/>
              <w:left w:val="nil"/>
              <w:bottom w:val="nil"/>
              <w:right w:val="single" w:color="auto"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r>
      <w:tr>
        <w:tblPrEx>
          <w:tblCellMar>
            <w:top w:w="0" w:type="dxa"/>
            <w:left w:w="108" w:type="dxa"/>
            <w:bottom w:w="0" w:type="dxa"/>
            <w:right w:w="108" w:type="dxa"/>
          </w:tblCellMar>
        </w:tblPrEx>
        <w:trPr>
          <w:gridBefore w:val="1"/>
          <w:gridAfter w:val="4"/>
          <w:wBefore w:w="6" w:type="dxa"/>
          <w:wAfter w:w="2234" w:type="dxa"/>
          <w:trHeight w:val="690" w:hRule="atLeast"/>
        </w:trPr>
        <w:tc>
          <w:tcPr>
            <w:tcW w:w="880" w:type="dxa"/>
            <w:gridSpan w:val="3"/>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208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20" w:type="dxa"/>
            <w:gridSpan w:val="4"/>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（公章）</w:t>
            </w:r>
          </w:p>
        </w:tc>
        <w:tc>
          <w:tcPr>
            <w:tcW w:w="1660" w:type="dxa"/>
            <w:gridSpan w:val="5"/>
            <w:tcBorders>
              <w:top w:val="nil"/>
              <w:left w:val="nil"/>
              <w:bottom w:val="nil"/>
              <w:right w:val="nil"/>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w:t>
            </w: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660" w:type="dxa"/>
            <w:gridSpan w:val="3"/>
            <w:tcBorders>
              <w:top w:val="nil"/>
              <w:left w:val="nil"/>
              <w:bottom w:val="nil"/>
              <w:right w:val="nil"/>
            </w:tcBorders>
            <w:shd w:val="clear" w:color="auto" w:fill="auto"/>
            <w:vAlign w:val="center"/>
          </w:tcPr>
          <w:p>
            <w:pPr>
              <w:widowControl/>
              <w:jc w:val="left"/>
              <w:rPr>
                <w:rFonts w:ascii="黑体" w:hAnsi="黑体" w:eastAsia="黑体" w:cs="宋体"/>
                <w:kern w:val="0"/>
                <w:sz w:val="22"/>
                <w:szCs w:val="22"/>
              </w:rPr>
            </w:pPr>
          </w:p>
        </w:tc>
        <w:tc>
          <w:tcPr>
            <w:tcW w:w="1980" w:type="dxa"/>
            <w:gridSpan w:val="4"/>
            <w:tcBorders>
              <w:top w:val="nil"/>
              <w:left w:val="nil"/>
              <w:bottom w:val="nil"/>
              <w:right w:val="single" w:color="auto" w:sz="4" w:space="0"/>
            </w:tcBorders>
            <w:shd w:val="clear" w:color="auto" w:fill="auto"/>
            <w:noWrap/>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（公章）</w:t>
            </w:r>
          </w:p>
        </w:tc>
      </w:tr>
      <w:tr>
        <w:tblPrEx>
          <w:tblCellMar>
            <w:top w:w="0" w:type="dxa"/>
            <w:left w:w="108" w:type="dxa"/>
            <w:bottom w:w="0" w:type="dxa"/>
            <w:right w:w="108" w:type="dxa"/>
          </w:tblCellMar>
        </w:tblPrEx>
        <w:trPr>
          <w:gridBefore w:val="1"/>
          <w:gridAfter w:val="4"/>
          <w:wBefore w:w="6" w:type="dxa"/>
          <w:wAfter w:w="2234" w:type="dxa"/>
          <w:trHeight w:val="690" w:hRule="atLeast"/>
        </w:trPr>
        <w:tc>
          <w:tcPr>
            <w:tcW w:w="6800" w:type="dxa"/>
            <w:gridSpan w:val="15"/>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 xml:space="preserve">                                年     月     日</w:t>
            </w:r>
          </w:p>
        </w:tc>
        <w:tc>
          <w:tcPr>
            <w:tcW w:w="6960" w:type="dxa"/>
            <w:gridSpan w:val="15"/>
            <w:tcBorders>
              <w:top w:val="nil"/>
              <w:left w:val="nil"/>
              <w:bottom w:val="single" w:color="auto" w:sz="4" w:space="0"/>
              <w:right w:val="single" w:color="000000" w:sz="4" w:space="0"/>
            </w:tcBorders>
            <w:shd w:val="clear" w:color="auto" w:fill="auto"/>
            <w:vAlign w:val="center"/>
          </w:tcPr>
          <w:p>
            <w:pPr>
              <w:widowControl/>
              <w:jc w:val="left"/>
              <w:rPr>
                <w:rFonts w:ascii="黑体" w:hAnsi="黑体" w:eastAsia="黑体" w:cs="宋体"/>
                <w:kern w:val="0"/>
                <w:sz w:val="22"/>
                <w:szCs w:val="22"/>
              </w:rPr>
            </w:pPr>
            <w:r>
              <w:rPr>
                <w:rFonts w:hint="eastAsia" w:ascii="黑体" w:hAnsi="黑体" w:eastAsia="黑体" w:cs="宋体"/>
                <w:kern w:val="0"/>
                <w:sz w:val="22"/>
                <w:szCs w:val="22"/>
              </w:rPr>
              <w:t xml:space="preserve">                                        年     月     日</w:t>
            </w:r>
          </w:p>
        </w:tc>
      </w:tr>
      <w:tr>
        <w:tblPrEx>
          <w:tblCellMar>
            <w:top w:w="0" w:type="dxa"/>
            <w:left w:w="108" w:type="dxa"/>
            <w:bottom w:w="0" w:type="dxa"/>
            <w:right w:w="108" w:type="dxa"/>
          </w:tblCellMar>
        </w:tblPrEx>
        <w:trPr>
          <w:gridBefore w:val="1"/>
          <w:gridAfter w:val="4"/>
          <w:wBefore w:w="6" w:type="dxa"/>
          <w:wAfter w:w="2234" w:type="dxa"/>
          <w:trHeight w:val="285" w:hRule="atLeast"/>
        </w:trPr>
        <w:tc>
          <w:tcPr>
            <w:tcW w:w="13760" w:type="dxa"/>
            <w:gridSpan w:val="30"/>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备注：1.本表由移交单位通过“山东省行政事业资产管理信息系统”政府公物仓模块填制打印并上报。</w:t>
            </w:r>
          </w:p>
        </w:tc>
      </w:tr>
      <w:tr>
        <w:tblPrEx>
          <w:tblCellMar>
            <w:top w:w="0" w:type="dxa"/>
            <w:left w:w="108" w:type="dxa"/>
            <w:bottom w:w="0" w:type="dxa"/>
            <w:right w:w="108" w:type="dxa"/>
          </w:tblCellMar>
        </w:tblPrEx>
        <w:trPr>
          <w:gridBefore w:val="1"/>
          <w:gridAfter w:val="4"/>
          <w:wBefore w:w="6" w:type="dxa"/>
          <w:wAfter w:w="2234" w:type="dxa"/>
          <w:trHeight w:val="285" w:hRule="atLeast"/>
        </w:trPr>
        <w:tc>
          <w:tcPr>
            <w:tcW w:w="13760" w:type="dxa"/>
            <w:gridSpan w:val="30"/>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      2.本表一式两联，其中财政部门留存一联、政府公物仓留作记账凭证一联。</w:t>
            </w:r>
          </w:p>
        </w:tc>
      </w:tr>
    </w:tbl>
    <w:p>
      <w:pPr>
        <w:pStyle w:val="6"/>
        <w:spacing w:before="11" w:line="400" w:lineRule="exact"/>
        <w:ind w:firstLine="520" w:firstLineChars="200"/>
        <w:jc w:val="left"/>
        <w:rPr>
          <w:sz w:val="26"/>
          <w:szCs w:val="26"/>
        </w:rPr>
      </w:pPr>
    </w:p>
    <w:p>
      <w:pPr>
        <w:pStyle w:val="3"/>
        <w:shd w:val="clear" w:color="auto" w:fill="FFFFFF"/>
        <w:spacing w:before="0" w:beforeAutospacing="0" w:after="0" w:afterAutospacing="0" w:line="842" w:lineRule="atLeast"/>
        <w:jc w:val="center"/>
        <w:rPr>
          <w:rFonts w:ascii="微软雅黑" w:hAnsi="微软雅黑" w:eastAsia="微软雅黑"/>
          <w:color w:val="333333"/>
          <w:sz w:val="45"/>
          <w:szCs w:val="45"/>
        </w:rPr>
      </w:pPr>
    </w:p>
    <w:p>
      <w:pPr>
        <w:pStyle w:val="3"/>
        <w:shd w:val="clear" w:color="auto" w:fill="FFFFFF"/>
        <w:spacing w:before="0" w:beforeAutospacing="0" w:after="0" w:afterAutospacing="0" w:line="842" w:lineRule="atLeast"/>
        <w:jc w:val="center"/>
        <w:rPr>
          <w:rFonts w:ascii="微软雅黑" w:hAnsi="微软雅黑" w:eastAsia="微软雅黑"/>
          <w:color w:val="333333"/>
          <w:sz w:val="45"/>
          <w:szCs w:val="45"/>
        </w:rPr>
      </w:pPr>
    </w:p>
    <w:p>
      <w:pPr>
        <w:pStyle w:val="3"/>
        <w:shd w:val="clear" w:color="auto" w:fill="FFFFFF"/>
        <w:spacing w:before="0" w:beforeAutospacing="0" w:after="0" w:afterAutospacing="0" w:line="842" w:lineRule="atLeast"/>
        <w:jc w:val="center"/>
        <w:rPr>
          <w:rFonts w:ascii="微软雅黑" w:hAnsi="微软雅黑" w:eastAsia="微软雅黑"/>
          <w:color w:val="333333"/>
          <w:sz w:val="45"/>
          <w:szCs w:val="45"/>
        </w:rPr>
      </w:pPr>
    </w:p>
    <w:p>
      <w:pPr>
        <w:pStyle w:val="3"/>
        <w:shd w:val="clear" w:color="auto" w:fill="FFFFFF"/>
        <w:spacing w:before="0" w:beforeAutospacing="0" w:after="0" w:afterAutospacing="0" w:line="842" w:lineRule="atLeast"/>
        <w:jc w:val="center"/>
        <w:rPr>
          <w:rFonts w:ascii="微软雅黑" w:hAnsi="微软雅黑" w:eastAsia="微软雅黑"/>
          <w:color w:val="333333"/>
          <w:sz w:val="45"/>
          <w:szCs w:val="45"/>
        </w:rPr>
      </w:pPr>
    </w:p>
    <w:p>
      <w:pPr>
        <w:pStyle w:val="3"/>
        <w:shd w:val="clear" w:color="auto" w:fill="FFFFFF"/>
        <w:spacing w:before="0" w:beforeAutospacing="0" w:after="0" w:afterAutospacing="0" w:line="842" w:lineRule="atLeast"/>
        <w:jc w:val="center"/>
        <w:rPr>
          <w:rFonts w:ascii="微软雅黑" w:hAnsi="微软雅黑" w:eastAsia="微软雅黑"/>
          <w:color w:val="333333"/>
          <w:sz w:val="45"/>
          <w:szCs w:val="45"/>
        </w:rPr>
      </w:pPr>
      <w:r>
        <w:rPr>
          <w:rFonts w:hint="eastAsia" w:ascii="微软雅黑" w:hAnsi="微软雅黑" w:eastAsia="微软雅黑"/>
          <w:color w:val="333333"/>
          <w:sz w:val="45"/>
          <w:szCs w:val="45"/>
        </w:rPr>
        <w:t>关于印发《国有文物资源资产管理暂行办法》的通知</w:t>
      </w:r>
    </w:p>
    <w:p>
      <w:pPr>
        <w:pStyle w:val="12"/>
        <w:shd w:val="clear" w:color="auto" w:fill="FFFFFF"/>
        <w:spacing w:before="0" w:beforeAutospacing="0" w:after="0" w:afterAutospacing="0" w:line="400" w:lineRule="exact"/>
        <w:jc w:val="center"/>
        <w:rPr>
          <w:rFonts w:ascii="方正仿宋简体" w:eastAsia="方正仿宋简体"/>
          <w:color w:val="333333"/>
          <w:sz w:val="26"/>
          <w:szCs w:val="26"/>
        </w:rPr>
      </w:pPr>
      <w:r>
        <w:rPr>
          <w:rFonts w:hint="eastAsia" w:ascii="方正仿宋简体" w:eastAsia="方正仿宋简体"/>
          <w:color w:val="333333"/>
          <w:sz w:val="26"/>
          <w:szCs w:val="26"/>
        </w:rPr>
        <w:t>财资〔2021〕84号</w:t>
      </w:r>
    </w:p>
    <w:p>
      <w:pPr>
        <w:pStyle w:val="12"/>
        <w:shd w:val="clear" w:color="auto" w:fill="FFFFFF"/>
        <w:spacing w:before="0" w:beforeAutospacing="0" w:after="0" w:afterAutospacing="0" w:line="400" w:lineRule="exact"/>
        <w:rPr>
          <w:rFonts w:ascii="方正仿宋简体" w:eastAsia="方正仿宋简体"/>
          <w:color w:val="333333"/>
          <w:sz w:val="26"/>
          <w:szCs w:val="26"/>
        </w:rPr>
      </w:pPr>
      <w:r>
        <w:rPr>
          <w:rFonts w:hint="eastAsia" w:ascii="方正仿宋简体" w:eastAsia="方正仿宋简体"/>
          <w:color w:val="333333"/>
          <w:sz w:val="26"/>
          <w:szCs w:val="26"/>
        </w:rPr>
        <w:t>党中央有关部门，国务院各部委、各直属机构，全国人大常委会办公厅，全国政协办公厅，最高人民法院，最高人民检察院，各民主党派中央，有关人民团体，有关中央企业，各省、自治区、直辖市、计划单列市财政厅（局）、文物局，新疆生产建设兵团财政局、文物局：</w:t>
      </w:r>
    </w:p>
    <w:p>
      <w:pPr>
        <w:pStyle w:val="12"/>
        <w:shd w:val="clear" w:color="auto" w:fill="FFFFFF"/>
        <w:spacing w:before="0" w:beforeAutospacing="0" w:after="0" w:afterAutospacing="0" w:line="400" w:lineRule="exact"/>
        <w:rPr>
          <w:rFonts w:ascii="方正仿宋简体" w:eastAsia="方正仿宋简体"/>
          <w:color w:val="333333"/>
          <w:sz w:val="26"/>
          <w:szCs w:val="26"/>
        </w:rPr>
      </w:pPr>
      <w:r>
        <w:rPr>
          <w:rFonts w:hint="eastAsia" w:ascii="方正仿宋简体" w:eastAsia="方正仿宋简体"/>
          <w:color w:val="333333"/>
          <w:sz w:val="26"/>
          <w:szCs w:val="26"/>
        </w:rPr>
        <w:t>　　为规范国有文物资源资产管理工作，根据《中华人民共和国文物保护法》、《中共中央关于建立国务院向全国人大常委会报告国有资产管理情况制度的意见》、《关于加强文物保护利用改革的若干意见》和行政事业单位国有资产管理有关规定，我们制定了《国有文物资源资产管理暂行办法》。现予印发，请遵照执行。</w:t>
      </w:r>
    </w:p>
    <w:p>
      <w:pPr>
        <w:pStyle w:val="12"/>
        <w:shd w:val="clear" w:color="auto" w:fill="FFFFFF"/>
        <w:spacing w:before="0" w:beforeAutospacing="0" w:after="0" w:afterAutospacing="0" w:line="400" w:lineRule="exact"/>
        <w:rPr>
          <w:rFonts w:ascii="方正仿宋简体" w:eastAsia="方正仿宋简体"/>
          <w:color w:val="333333"/>
          <w:sz w:val="26"/>
          <w:szCs w:val="26"/>
        </w:rPr>
      </w:pPr>
      <w:r>
        <w:rPr>
          <w:rFonts w:hint="eastAsia" w:ascii="方正仿宋简体" w:eastAsia="方正仿宋简体"/>
          <w:color w:val="333333"/>
          <w:sz w:val="26"/>
          <w:szCs w:val="26"/>
        </w:rPr>
        <w:t>　　附件：国有文物资源资产管理暂行办法</w:t>
      </w:r>
    </w:p>
    <w:p>
      <w:pPr>
        <w:pStyle w:val="12"/>
        <w:shd w:val="clear" w:color="auto" w:fill="FFFFFF"/>
        <w:spacing w:before="0" w:beforeAutospacing="0" w:after="0" w:afterAutospacing="0" w:line="400" w:lineRule="exact"/>
        <w:jc w:val="right"/>
        <w:rPr>
          <w:rFonts w:ascii="方正仿宋简体" w:eastAsia="方正仿宋简体"/>
          <w:color w:val="333333"/>
          <w:sz w:val="26"/>
          <w:szCs w:val="26"/>
        </w:rPr>
      </w:pPr>
      <w:r>
        <w:rPr>
          <w:rFonts w:hint="eastAsia" w:ascii="方正仿宋简体" w:eastAsia="方正仿宋简体"/>
          <w:color w:val="333333"/>
          <w:sz w:val="26"/>
          <w:szCs w:val="26"/>
        </w:rPr>
        <w:t>　　财政部</w:t>
      </w:r>
      <w:r>
        <w:rPr>
          <w:rFonts w:hint="eastAsia" w:eastAsia="方正仿宋简体"/>
          <w:color w:val="333333"/>
          <w:sz w:val="26"/>
          <w:szCs w:val="26"/>
        </w:rPr>
        <w:t> </w:t>
      </w:r>
      <w:r>
        <w:rPr>
          <w:rFonts w:hint="eastAsia" w:ascii="方正仿宋简体" w:eastAsia="方正仿宋简体"/>
          <w:color w:val="333333"/>
          <w:sz w:val="26"/>
          <w:szCs w:val="26"/>
        </w:rPr>
        <w:t>国家文物局</w:t>
      </w:r>
    </w:p>
    <w:p>
      <w:pPr>
        <w:pStyle w:val="12"/>
        <w:shd w:val="clear" w:color="auto" w:fill="FFFFFF"/>
        <w:spacing w:before="0" w:beforeAutospacing="0" w:after="0" w:afterAutospacing="0" w:line="400" w:lineRule="exact"/>
        <w:jc w:val="right"/>
        <w:rPr>
          <w:rFonts w:ascii="方正仿宋简体" w:eastAsia="方正仿宋简体"/>
          <w:color w:val="333333"/>
          <w:sz w:val="26"/>
          <w:szCs w:val="26"/>
        </w:rPr>
      </w:pPr>
      <w:r>
        <w:rPr>
          <w:rFonts w:hint="eastAsia" w:ascii="方正仿宋简体" w:eastAsia="方正仿宋简体"/>
          <w:color w:val="333333"/>
          <w:sz w:val="26"/>
          <w:szCs w:val="26"/>
        </w:rPr>
        <w:t>　　2021年3月11日</w:t>
      </w:r>
    </w:p>
    <w:p>
      <w:pPr>
        <w:pStyle w:val="12"/>
        <w:shd w:val="clear" w:color="auto" w:fill="FFFFFF"/>
        <w:spacing w:before="0" w:beforeAutospacing="0" w:after="0" w:afterAutospacing="0" w:line="400" w:lineRule="exact"/>
        <w:jc w:val="right"/>
        <w:rPr>
          <w:rFonts w:ascii="方正仿宋简体" w:eastAsia="方正仿宋简体"/>
          <w:color w:val="333333"/>
          <w:sz w:val="26"/>
          <w:szCs w:val="26"/>
        </w:r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国有文物资源资产管理暂行办法</w:t>
      </w:r>
    </w:p>
    <w:p>
      <w:pPr>
        <w:spacing w:line="400" w:lineRule="exact"/>
        <w:ind w:firstLine="640" w:firstLineChars="200"/>
        <w:jc w:val="center"/>
        <w:rPr>
          <w:rFonts w:ascii="方正小标宋简体" w:hAnsi="宋体" w:eastAsia="方正小标宋简体" w:cs="宋体"/>
          <w:b/>
          <w:bCs/>
          <w:color w:val="000000"/>
          <w:sz w:val="32"/>
          <w:szCs w:val="32"/>
          <w:lang w:val="zh-CN"/>
        </w:rPr>
      </w:pPr>
    </w:p>
    <w:p>
      <w:pPr>
        <w:pStyle w:val="6"/>
        <w:spacing w:before="18" w:line="400" w:lineRule="exact"/>
        <w:ind w:firstLine="520" w:firstLineChars="200"/>
        <w:jc w:val="left"/>
        <w:rPr>
          <w:b/>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总则</w:t>
      </w:r>
    </w:p>
    <w:p>
      <w:pPr>
        <w:pStyle w:val="6"/>
        <w:spacing w:before="214" w:line="400" w:lineRule="exact"/>
        <w:ind w:right="317" w:firstLine="520" w:firstLineChars="200"/>
        <w:jc w:val="left"/>
        <w:rPr>
          <w:sz w:val="26"/>
          <w:szCs w:val="26"/>
        </w:rPr>
      </w:pPr>
      <w:r>
        <w:rPr>
          <w:rFonts w:hint="eastAsia" w:ascii="楷体" w:hAnsi="楷体" w:eastAsia="楷体" w:cs="楷体"/>
          <w:bCs/>
          <w:sz w:val="26"/>
          <w:szCs w:val="26"/>
        </w:rPr>
        <w:t>第一条</w:t>
      </w:r>
      <w:r>
        <w:rPr>
          <w:rFonts w:hint="eastAsia"/>
          <w:b/>
          <w:sz w:val="26"/>
          <w:szCs w:val="26"/>
        </w:rPr>
        <w:t xml:space="preserve"> </w:t>
      </w:r>
      <w:r>
        <w:rPr>
          <w:rFonts w:hint="eastAsia"/>
          <w:spacing w:val="4"/>
          <w:sz w:val="26"/>
          <w:szCs w:val="26"/>
        </w:rPr>
        <w:t>为健全国有资产报告制度，保障国有文物资源</w:t>
      </w:r>
      <w:r>
        <w:rPr>
          <w:rFonts w:hint="eastAsia"/>
          <w:spacing w:val="-2"/>
          <w:w w:val="95"/>
          <w:sz w:val="26"/>
          <w:szCs w:val="26"/>
        </w:rPr>
        <w:t xml:space="preserve">资产安全完整、有效保护和合理利用，根据《中华人民共和 </w:t>
      </w:r>
      <w:r>
        <w:rPr>
          <w:rFonts w:hint="eastAsia"/>
          <w:spacing w:val="-4"/>
          <w:sz w:val="26"/>
          <w:szCs w:val="26"/>
        </w:rPr>
        <w:t>国文物保护法》、《中共中央关于建立国务院向全国人大常</w:t>
      </w:r>
      <w:r>
        <w:rPr>
          <w:rFonts w:hint="eastAsia"/>
          <w:spacing w:val="-6"/>
          <w:sz w:val="26"/>
          <w:szCs w:val="26"/>
        </w:rPr>
        <w:t>委会报告国有资产管理情况制度的意见》、《关于加强文物</w:t>
      </w:r>
      <w:r>
        <w:rPr>
          <w:rFonts w:hint="eastAsia"/>
          <w:spacing w:val="-7"/>
          <w:sz w:val="26"/>
          <w:szCs w:val="26"/>
        </w:rPr>
        <w:t>保护利用改革的若干意见》和行政事业单位国有资产管理有关规定，制定本办法。</w:t>
      </w:r>
    </w:p>
    <w:p>
      <w:pPr>
        <w:pStyle w:val="6"/>
        <w:spacing w:before="5" w:line="400" w:lineRule="exact"/>
        <w:ind w:right="159" w:firstLine="520" w:firstLineChars="200"/>
        <w:jc w:val="left"/>
        <w:rPr>
          <w:sz w:val="26"/>
          <w:szCs w:val="26"/>
        </w:rPr>
      </w:pPr>
      <w:r>
        <w:rPr>
          <w:rFonts w:hint="eastAsia" w:ascii="楷体" w:hAnsi="楷体" w:eastAsia="楷体" w:cs="楷体"/>
          <w:bCs/>
          <w:sz w:val="26"/>
          <w:szCs w:val="26"/>
        </w:rPr>
        <w:t>第二条</w:t>
      </w:r>
      <w:r>
        <w:rPr>
          <w:rFonts w:hint="eastAsia"/>
          <w:b/>
          <w:sz w:val="26"/>
          <w:szCs w:val="26"/>
        </w:rPr>
        <w:t xml:space="preserve"> </w:t>
      </w:r>
      <w:r>
        <w:rPr>
          <w:rFonts w:hint="eastAsia"/>
          <w:sz w:val="26"/>
          <w:szCs w:val="26"/>
        </w:rPr>
        <w:t>各级各类行政事业单位国有文物资源资产的取</w:t>
      </w:r>
      <w:r>
        <w:rPr>
          <w:rFonts w:hint="eastAsia"/>
          <w:w w:val="95"/>
          <w:sz w:val="26"/>
          <w:szCs w:val="26"/>
        </w:rPr>
        <w:t>得、保管保护、使用、处置、报告等管理活动，适用本办法。</w:t>
      </w:r>
    </w:p>
    <w:p>
      <w:pPr>
        <w:pStyle w:val="6"/>
        <w:spacing w:before="1" w:line="400" w:lineRule="exact"/>
        <w:ind w:right="315" w:firstLine="520" w:firstLineChars="200"/>
        <w:jc w:val="left"/>
        <w:rPr>
          <w:sz w:val="26"/>
          <w:szCs w:val="26"/>
        </w:rPr>
      </w:pPr>
      <w:r>
        <w:rPr>
          <w:rFonts w:hint="eastAsia" w:ascii="楷体" w:hAnsi="楷体" w:eastAsia="楷体" w:cs="楷体"/>
          <w:bCs/>
          <w:sz w:val="26"/>
          <w:szCs w:val="26"/>
        </w:rPr>
        <w:t>第三条</w:t>
      </w:r>
      <w:r>
        <w:rPr>
          <w:rFonts w:hint="eastAsia"/>
          <w:b/>
          <w:sz w:val="26"/>
          <w:szCs w:val="26"/>
        </w:rPr>
        <w:t xml:space="preserve"> </w:t>
      </w:r>
      <w:r>
        <w:rPr>
          <w:rFonts w:hint="eastAsia"/>
          <w:spacing w:val="5"/>
          <w:sz w:val="26"/>
          <w:szCs w:val="26"/>
        </w:rPr>
        <w:t>文物资源资产来源包括文物普查、考古调查、</w:t>
      </w:r>
      <w:r>
        <w:rPr>
          <w:rFonts w:hint="eastAsia"/>
          <w:spacing w:val="-3"/>
          <w:sz w:val="26"/>
          <w:szCs w:val="26"/>
        </w:rPr>
        <w:t>勘探和发掘、征集、购买、调拨、捐赠、依法置换、依法接收、指定保管等方式。</w:t>
      </w:r>
    </w:p>
    <w:p>
      <w:pPr>
        <w:pStyle w:val="6"/>
        <w:spacing w:before="3" w:line="400" w:lineRule="exact"/>
        <w:ind w:right="317" w:firstLine="520" w:firstLineChars="200"/>
        <w:jc w:val="left"/>
        <w:rPr>
          <w:sz w:val="26"/>
          <w:szCs w:val="26"/>
        </w:rPr>
      </w:pPr>
      <w:r>
        <w:rPr>
          <w:rFonts w:hint="eastAsia" w:ascii="楷体" w:hAnsi="楷体" w:eastAsia="楷体" w:cs="楷体"/>
          <w:bCs/>
          <w:sz w:val="26"/>
          <w:szCs w:val="26"/>
        </w:rPr>
        <w:t>第四条</w:t>
      </w:r>
      <w:r>
        <w:rPr>
          <w:rFonts w:hint="eastAsia"/>
          <w:b/>
          <w:sz w:val="26"/>
          <w:szCs w:val="26"/>
        </w:rPr>
        <w:t xml:space="preserve"> </w:t>
      </w:r>
      <w:r>
        <w:rPr>
          <w:rFonts w:hint="eastAsia"/>
          <w:sz w:val="26"/>
          <w:szCs w:val="26"/>
        </w:rPr>
        <w:t>文物资源资产管理遵循保护为主、全面登记、合理利用、动态监控、分类施策、分级管理的原则。</w:t>
      </w:r>
    </w:p>
    <w:p>
      <w:pPr>
        <w:pStyle w:val="6"/>
        <w:spacing w:before="1" w:line="400" w:lineRule="exact"/>
        <w:ind w:right="111" w:firstLine="520" w:firstLineChars="200"/>
        <w:jc w:val="left"/>
        <w:rPr>
          <w:sz w:val="26"/>
          <w:szCs w:val="26"/>
        </w:rPr>
      </w:pPr>
      <w:r>
        <w:rPr>
          <w:rFonts w:hint="eastAsia" w:ascii="楷体" w:hAnsi="楷体" w:eastAsia="楷体" w:cs="楷体"/>
          <w:bCs/>
          <w:sz w:val="26"/>
          <w:szCs w:val="26"/>
        </w:rPr>
        <w:t>第五条</w:t>
      </w:r>
      <w:r>
        <w:rPr>
          <w:rFonts w:hint="eastAsia"/>
          <w:b/>
          <w:sz w:val="26"/>
          <w:szCs w:val="26"/>
        </w:rPr>
        <w:t xml:space="preserve"> </w:t>
      </w:r>
      <w:r>
        <w:rPr>
          <w:rFonts w:hint="eastAsia"/>
          <w:sz w:val="26"/>
          <w:szCs w:val="26"/>
        </w:rPr>
        <w:t>各级财政部门、文物行政部门、其他主管部门、管理收藏单位按照职责分工承担文物资源资产登记、核算、保管保护、展示利用、信息化管理、资产报告和监督检查等工作。</w:t>
      </w:r>
    </w:p>
    <w:p>
      <w:pPr>
        <w:pStyle w:val="6"/>
        <w:spacing w:before="1" w:line="400" w:lineRule="exact"/>
        <w:ind w:right="111" w:firstLine="520" w:firstLineChars="200"/>
        <w:jc w:val="left"/>
        <w:rPr>
          <w:sz w:val="26"/>
          <w:szCs w:val="26"/>
        </w:rPr>
      </w:pPr>
      <w:r>
        <w:rPr>
          <w:rFonts w:hint="eastAsia" w:ascii="楷体" w:hAnsi="楷体" w:eastAsia="楷体" w:cs="楷体"/>
          <w:bCs/>
          <w:sz w:val="26"/>
          <w:szCs w:val="26"/>
        </w:rPr>
        <w:t>第六条</w:t>
      </w:r>
      <w:r>
        <w:rPr>
          <w:rFonts w:hint="eastAsia"/>
          <w:b/>
          <w:sz w:val="26"/>
          <w:szCs w:val="26"/>
        </w:rPr>
        <w:t xml:space="preserve"> </w:t>
      </w:r>
      <w:r>
        <w:rPr>
          <w:rFonts w:hint="eastAsia"/>
          <w:spacing w:val="4"/>
          <w:sz w:val="26"/>
          <w:szCs w:val="26"/>
        </w:rPr>
        <w:t>各级财政部门会同同级文物行政部门负责制定</w:t>
      </w:r>
      <w:r>
        <w:rPr>
          <w:rFonts w:hint="eastAsia"/>
          <w:spacing w:val="-1"/>
          <w:w w:val="95"/>
          <w:sz w:val="26"/>
          <w:szCs w:val="26"/>
        </w:rPr>
        <w:t>文物资源资产管理综合性制度，并组织实施和监督检查；建</w:t>
      </w:r>
      <w:r>
        <w:rPr>
          <w:rFonts w:hint="eastAsia"/>
          <w:spacing w:val="-1"/>
          <w:sz w:val="26"/>
          <w:szCs w:val="26"/>
        </w:rPr>
        <w:t>立文物资源资产管理情况报告制度并组织实施。</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第七条</w:t>
      </w:r>
      <w:r>
        <w:rPr>
          <w:rFonts w:hint="eastAsia"/>
          <w:b/>
          <w:sz w:val="26"/>
          <w:szCs w:val="26"/>
        </w:rPr>
        <w:t xml:space="preserve"> </w:t>
      </w:r>
      <w:r>
        <w:rPr>
          <w:rFonts w:hint="eastAsia"/>
          <w:spacing w:val="5"/>
          <w:sz w:val="26"/>
          <w:szCs w:val="26"/>
        </w:rPr>
        <w:t>各级文物行政部门负责制定文物资源资产专业</w:t>
      </w:r>
      <w:r>
        <w:rPr>
          <w:rFonts w:hint="eastAsia"/>
          <w:spacing w:val="-1"/>
          <w:w w:val="95"/>
          <w:sz w:val="26"/>
          <w:szCs w:val="26"/>
        </w:rPr>
        <w:t>性管理制度，并组织实施和监督检查；组织所属管理收藏单</w:t>
      </w:r>
      <w:r>
        <w:rPr>
          <w:rFonts w:hint="eastAsia"/>
          <w:spacing w:val="-2"/>
          <w:w w:val="95"/>
          <w:sz w:val="26"/>
          <w:szCs w:val="26"/>
        </w:rPr>
        <w:t>位开展文物资源资产管理工作，并接受同级财政部门的监督</w:t>
      </w:r>
      <w:r>
        <w:rPr>
          <w:rFonts w:hint="eastAsia"/>
          <w:spacing w:val="-2"/>
          <w:sz w:val="26"/>
          <w:szCs w:val="26"/>
        </w:rPr>
        <w:t>和指导。</w:t>
      </w:r>
    </w:p>
    <w:p>
      <w:pPr>
        <w:pStyle w:val="6"/>
        <w:spacing w:before="3" w:line="400" w:lineRule="exact"/>
        <w:ind w:right="317" w:firstLine="546" w:firstLineChars="200"/>
        <w:jc w:val="left"/>
        <w:rPr>
          <w:sz w:val="26"/>
          <w:szCs w:val="26"/>
        </w:rPr>
      </w:pPr>
      <w:r>
        <w:rPr>
          <w:rFonts w:hint="eastAsia"/>
          <w:spacing w:val="13"/>
          <w:w w:val="95"/>
          <w:sz w:val="26"/>
          <w:szCs w:val="26"/>
        </w:rPr>
        <w:t xml:space="preserve">其他主管部门负责组织所属管理收藏单位开展文物资 </w:t>
      </w:r>
      <w:r>
        <w:rPr>
          <w:rFonts w:hint="eastAsia"/>
          <w:sz w:val="26"/>
          <w:szCs w:val="26"/>
        </w:rPr>
        <w:t>源资产管理工作，并接受同级财政部门的监督指导和文物行政部门的行业监督指导。</w:t>
      </w:r>
    </w:p>
    <w:p>
      <w:pPr>
        <w:pStyle w:val="6"/>
        <w:spacing w:before="3" w:line="400" w:lineRule="exact"/>
        <w:ind w:right="320" w:firstLine="520" w:firstLineChars="200"/>
        <w:jc w:val="left"/>
        <w:rPr>
          <w:sz w:val="26"/>
          <w:szCs w:val="26"/>
        </w:rPr>
      </w:pPr>
      <w:r>
        <w:rPr>
          <w:rFonts w:hint="eastAsia" w:ascii="楷体" w:hAnsi="楷体" w:eastAsia="楷体" w:cs="楷体"/>
          <w:bCs/>
          <w:sz w:val="26"/>
          <w:szCs w:val="26"/>
        </w:rPr>
        <w:t>第八条</w:t>
      </w:r>
      <w:r>
        <w:rPr>
          <w:rFonts w:hint="eastAsia"/>
          <w:b/>
          <w:sz w:val="26"/>
          <w:szCs w:val="26"/>
        </w:rPr>
        <w:t xml:space="preserve"> </w:t>
      </w:r>
      <w:r>
        <w:rPr>
          <w:rFonts w:hint="eastAsia"/>
          <w:spacing w:val="4"/>
          <w:sz w:val="26"/>
          <w:szCs w:val="26"/>
        </w:rPr>
        <w:t>管理收藏单位根据财政部门、文物行政部门的</w:t>
      </w:r>
      <w:r>
        <w:rPr>
          <w:rFonts w:hint="eastAsia"/>
          <w:spacing w:val="-2"/>
          <w:w w:val="95"/>
          <w:sz w:val="26"/>
          <w:szCs w:val="26"/>
        </w:rPr>
        <w:t>规定，负责本单位管理、保护收藏、核算文物资源资产的具</w:t>
      </w:r>
      <w:r>
        <w:rPr>
          <w:rFonts w:hint="eastAsia"/>
          <w:spacing w:val="-5"/>
          <w:sz w:val="26"/>
          <w:szCs w:val="26"/>
        </w:rPr>
        <w:t>体管理工作。文物资源资产的管理收藏单位与实际使用单位</w:t>
      </w:r>
      <w:r>
        <w:rPr>
          <w:rFonts w:hint="eastAsia"/>
          <w:spacing w:val="-7"/>
          <w:sz w:val="26"/>
          <w:szCs w:val="26"/>
        </w:rPr>
        <w:t>不一致的，经相关文物行政部门确认后，由实际使用单位承</w:t>
      </w:r>
      <w:r>
        <w:rPr>
          <w:rFonts w:hint="eastAsia"/>
          <w:sz w:val="26"/>
          <w:szCs w:val="26"/>
        </w:rPr>
        <w:t>担日常管理工作。</w:t>
      </w:r>
    </w:p>
    <w:p>
      <w:pPr>
        <w:pStyle w:val="6"/>
        <w:spacing w:before="4" w:line="400" w:lineRule="exact"/>
        <w:ind w:right="317" w:firstLine="542" w:firstLineChars="200"/>
        <w:jc w:val="left"/>
        <w:rPr>
          <w:sz w:val="26"/>
          <w:szCs w:val="26"/>
        </w:rPr>
      </w:pPr>
      <w:r>
        <w:rPr>
          <w:rFonts w:hint="eastAsia"/>
          <w:spacing w:val="12"/>
          <w:w w:val="95"/>
          <w:sz w:val="26"/>
          <w:szCs w:val="26"/>
        </w:rPr>
        <w:t xml:space="preserve">本条所称的管理收藏单位包括文物行政部门和其他主 </w:t>
      </w:r>
      <w:r>
        <w:rPr>
          <w:rFonts w:hint="eastAsia"/>
          <w:spacing w:val="10"/>
          <w:w w:val="95"/>
          <w:sz w:val="26"/>
          <w:szCs w:val="26"/>
        </w:rPr>
        <w:t>管部门所属的博物馆</w:t>
      </w:r>
      <w:r>
        <w:rPr>
          <w:rFonts w:hint="eastAsia"/>
          <w:w w:val="95"/>
          <w:sz w:val="26"/>
          <w:szCs w:val="26"/>
        </w:rPr>
        <w:t>（纪念馆</w:t>
      </w:r>
      <w:r>
        <w:rPr>
          <w:rFonts w:hint="eastAsia"/>
          <w:spacing w:val="-3"/>
          <w:w w:val="95"/>
          <w:sz w:val="26"/>
          <w:szCs w:val="26"/>
        </w:rPr>
        <w:t xml:space="preserve">）、图书馆、考古科研教学机 </w:t>
      </w:r>
      <w:r>
        <w:rPr>
          <w:rFonts w:hint="eastAsia"/>
          <w:spacing w:val="-3"/>
          <w:sz w:val="26"/>
          <w:szCs w:val="26"/>
        </w:rPr>
        <w:t>构、文物管理所等以及其他管理、收藏国有文物的单位。</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文物资源资产登录和清查</w:t>
      </w:r>
    </w:p>
    <w:p>
      <w:pPr>
        <w:pStyle w:val="6"/>
        <w:spacing w:before="214" w:line="400" w:lineRule="exact"/>
        <w:ind w:right="317" w:firstLine="520" w:firstLineChars="200"/>
        <w:jc w:val="left"/>
        <w:rPr>
          <w:sz w:val="26"/>
          <w:szCs w:val="26"/>
        </w:rPr>
      </w:pPr>
      <w:r>
        <w:rPr>
          <w:rFonts w:hint="eastAsia" w:ascii="楷体" w:hAnsi="楷体" w:eastAsia="楷体" w:cs="楷体"/>
          <w:bCs/>
          <w:sz w:val="26"/>
          <w:szCs w:val="26"/>
        </w:rPr>
        <w:t>第九条</w:t>
      </w:r>
      <w:r>
        <w:rPr>
          <w:rFonts w:hint="eastAsia"/>
          <w:b/>
          <w:sz w:val="26"/>
          <w:szCs w:val="26"/>
        </w:rPr>
        <w:t xml:space="preserve"> </w:t>
      </w:r>
      <w:r>
        <w:rPr>
          <w:rFonts w:hint="eastAsia"/>
          <w:sz w:val="26"/>
          <w:szCs w:val="26"/>
        </w:rPr>
        <w:t>管理收藏单位应当将全部文物资源资产及时、准确登记录入文物总登记账。管理收藏单位的文物总登记账是统计和核算文物资源资产实物量的依据，应当真实、及时反映管理收藏所有文物的信息。</w:t>
      </w:r>
    </w:p>
    <w:p>
      <w:pPr>
        <w:pStyle w:val="6"/>
        <w:spacing w:before="1" w:line="400" w:lineRule="exact"/>
        <w:ind w:right="317" w:firstLine="524" w:firstLineChars="200"/>
        <w:jc w:val="left"/>
        <w:rPr>
          <w:sz w:val="26"/>
          <w:szCs w:val="26"/>
        </w:rPr>
      </w:pPr>
      <w:r>
        <w:rPr>
          <w:rFonts w:hint="eastAsia" w:ascii="楷体" w:hAnsi="楷体" w:eastAsia="楷体" w:cs="楷体"/>
          <w:bCs/>
          <w:spacing w:val="1"/>
          <w:sz w:val="26"/>
          <w:szCs w:val="26"/>
        </w:rPr>
        <w:t>第十条</w:t>
      </w:r>
      <w:r>
        <w:rPr>
          <w:rFonts w:hint="eastAsia"/>
          <w:b/>
          <w:spacing w:val="1"/>
          <w:sz w:val="26"/>
          <w:szCs w:val="26"/>
        </w:rPr>
        <w:t xml:space="preserve"> </w:t>
      </w:r>
      <w:r>
        <w:rPr>
          <w:rFonts w:hint="eastAsia"/>
          <w:spacing w:val="6"/>
          <w:sz w:val="26"/>
          <w:szCs w:val="26"/>
        </w:rPr>
        <w:t>管理收藏单位应当按照国家统一的会计制度规</w:t>
      </w:r>
      <w:r>
        <w:rPr>
          <w:rFonts w:hint="eastAsia"/>
          <w:sz w:val="26"/>
          <w:szCs w:val="26"/>
        </w:rPr>
        <w:t>定进行会计核算，将成本能够可靠取得的文物资源资产及时</w:t>
      </w:r>
      <w:r>
        <w:rPr>
          <w:rFonts w:hint="eastAsia"/>
          <w:spacing w:val="-2"/>
          <w:sz w:val="26"/>
          <w:szCs w:val="26"/>
        </w:rPr>
        <w:t>登记入财务账，确保不重不漏。文物资源资产涉及价值增减变动的，应当及时调整相关账目。</w:t>
      </w:r>
    </w:p>
    <w:p>
      <w:pPr>
        <w:pStyle w:val="6"/>
        <w:spacing w:before="4" w:line="400" w:lineRule="exact"/>
        <w:ind w:right="317" w:firstLine="516" w:firstLineChars="200"/>
        <w:jc w:val="left"/>
        <w:rPr>
          <w:sz w:val="26"/>
          <w:szCs w:val="26"/>
        </w:rPr>
      </w:pPr>
      <w:r>
        <w:rPr>
          <w:rFonts w:hint="eastAsia"/>
          <w:spacing w:val="-1"/>
          <w:sz w:val="26"/>
          <w:szCs w:val="26"/>
        </w:rPr>
        <w:t>成本无法可靠取得的文物资源资产，应当设置备查簿进</w:t>
      </w:r>
      <w:r>
        <w:rPr>
          <w:rFonts w:hint="eastAsia"/>
          <w:spacing w:val="-4"/>
          <w:sz w:val="26"/>
          <w:szCs w:val="26"/>
        </w:rPr>
        <w:t>行登记，并在年度国有资产报告中体现数量，待成本可以可靠取得后，再按照国家统一的会计制度的规定及时入账。</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第十一条</w:t>
      </w:r>
      <w:r>
        <w:rPr>
          <w:rFonts w:hint="eastAsia"/>
          <w:b/>
          <w:sz w:val="26"/>
          <w:szCs w:val="26"/>
        </w:rPr>
        <w:t xml:space="preserve"> </w:t>
      </w:r>
      <w:r>
        <w:rPr>
          <w:rFonts w:hint="eastAsia"/>
          <w:sz w:val="26"/>
          <w:szCs w:val="26"/>
        </w:rPr>
        <w:t>文物总登记账和文物资源资产财务账是文物资源资产核算和管理的重要记录，应当作为编制文物资源资产报告和开展文物资源资产管理工作的依据。</w:t>
      </w:r>
    </w:p>
    <w:p>
      <w:pPr>
        <w:pStyle w:val="6"/>
        <w:spacing w:line="400" w:lineRule="exact"/>
        <w:ind w:right="275" w:firstLine="520" w:firstLineChars="200"/>
        <w:jc w:val="left"/>
        <w:rPr>
          <w:sz w:val="26"/>
          <w:szCs w:val="26"/>
        </w:rPr>
      </w:pPr>
      <w:r>
        <w:rPr>
          <w:rFonts w:hint="eastAsia"/>
          <w:sz w:val="26"/>
          <w:szCs w:val="26"/>
        </w:rPr>
        <w:t>文物总登记账与文物资源资产财务账应当定期核对，确保账账、账实相符。</w:t>
      </w:r>
    </w:p>
    <w:p>
      <w:pPr>
        <w:pStyle w:val="6"/>
        <w:spacing w:line="400" w:lineRule="exact"/>
        <w:ind w:right="305" w:firstLine="520" w:firstLineChars="200"/>
        <w:jc w:val="left"/>
        <w:rPr>
          <w:sz w:val="26"/>
          <w:szCs w:val="26"/>
        </w:rPr>
      </w:pPr>
      <w:r>
        <w:rPr>
          <w:rFonts w:hint="eastAsia" w:ascii="楷体" w:hAnsi="楷体" w:eastAsia="楷体" w:cs="楷体"/>
          <w:bCs/>
          <w:sz w:val="26"/>
          <w:szCs w:val="26"/>
        </w:rPr>
        <w:t>第十二条</w:t>
      </w:r>
      <w:r>
        <w:rPr>
          <w:rFonts w:hint="eastAsia"/>
          <w:b/>
          <w:sz w:val="26"/>
          <w:szCs w:val="26"/>
        </w:rPr>
        <w:t xml:space="preserve"> </w:t>
      </w:r>
      <w:r>
        <w:rPr>
          <w:rFonts w:hint="eastAsia"/>
          <w:sz w:val="26"/>
          <w:szCs w:val="26"/>
        </w:rPr>
        <w:t xml:space="preserve">管理收藏单位购买、征集文物资源资产，按照国家有关规定需要进行资产评估的，应当进行资产评估。 </w:t>
      </w:r>
      <w:r>
        <w:rPr>
          <w:rFonts w:hint="eastAsia" w:ascii="楷体" w:hAnsi="楷体" w:eastAsia="楷体" w:cs="楷体"/>
          <w:bCs/>
          <w:sz w:val="26"/>
          <w:szCs w:val="26"/>
        </w:rPr>
        <w:t>第十三条</w:t>
      </w:r>
      <w:r>
        <w:rPr>
          <w:rFonts w:hint="eastAsia"/>
          <w:b/>
          <w:sz w:val="26"/>
          <w:szCs w:val="26"/>
        </w:rPr>
        <w:t xml:space="preserve"> </w:t>
      </w:r>
      <w:r>
        <w:rPr>
          <w:rFonts w:hint="eastAsia"/>
          <w:sz w:val="26"/>
          <w:szCs w:val="26"/>
        </w:rPr>
        <w:t>管理收藏单位应当建立业务部门和财务资产</w:t>
      </w:r>
    </w:p>
    <w:p>
      <w:pPr>
        <w:pStyle w:val="6"/>
        <w:spacing w:line="400" w:lineRule="exact"/>
        <w:ind w:firstLine="520" w:firstLineChars="200"/>
        <w:jc w:val="left"/>
        <w:rPr>
          <w:sz w:val="26"/>
          <w:szCs w:val="26"/>
        </w:rPr>
      </w:pPr>
      <w:r>
        <w:rPr>
          <w:rFonts w:hint="eastAsia"/>
          <w:sz w:val="26"/>
          <w:szCs w:val="26"/>
        </w:rPr>
        <w:t>管理部门协作机制，完整反映文物资源资产管理情况。</w:t>
      </w:r>
    </w:p>
    <w:p>
      <w:pPr>
        <w:pStyle w:val="6"/>
        <w:spacing w:before="214" w:line="400" w:lineRule="exact"/>
        <w:ind w:right="317" w:firstLine="524" w:firstLineChars="200"/>
        <w:jc w:val="left"/>
        <w:rPr>
          <w:sz w:val="26"/>
          <w:szCs w:val="26"/>
        </w:rPr>
      </w:pPr>
      <w:r>
        <w:rPr>
          <w:rFonts w:hint="eastAsia" w:ascii="楷体" w:hAnsi="楷体" w:eastAsia="楷体" w:cs="楷体"/>
          <w:bCs/>
          <w:spacing w:val="1"/>
          <w:sz w:val="26"/>
          <w:szCs w:val="26"/>
        </w:rPr>
        <w:t>第十四条</w:t>
      </w:r>
      <w:r>
        <w:rPr>
          <w:rFonts w:hint="eastAsia"/>
          <w:b/>
          <w:spacing w:val="1"/>
          <w:sz w:val="26"/>
          <w:szCs w:val="26"/>
        </w:rPr>
        <w:t xml:space="preserve"> </w:t>
      </w:r>
      <w:r>
        <w:rPr>
          <w:rFonts w:hint="eastAsia"/>
          <w:spacing w:val="4"/>
          <w:sz w:val="26"/>
          <w:szCs w:val="26"/>
        </w:rPr>
        <w:t>文物资源资产信息卡是文物资源资产登记录</w:t>
      </w:r>
      <w:r>
        <w:rPr>
          <w:rFonts w:hint="eastAsia"/>
          <w:spacing w:val="-1"/>
          <w:w w:val="95"/>
          <w:sz w:val="26"/>
          <w:szCs w:val="26"/>
        </w:rPr>
        <w:t>入文物总登记账、文物资源资产财务账的基础，分为不可移</w:t>
      </w:r>
      <w:r>
        <w:rPr>
          <w:rFonts w:hint="eastAsia"/>
          <w:sz w:val="26"/>
          <w:szCs w:val="26"/>
        </w:rPr>
        <w:t>动文物资源资产信息卡</w:t>
      </w:r>
      <w:r>
        <w:rPr>
          <w:rFonts w:hint="eastAsia"/>
          <w:spacing w:val="5"/>
          <w:sz w:val="26"/>
          <w:szCs w:val="26"/>
        </w:rPr>
        <w:t>（</w:t>
      </w:r>
      <w:r>
        <w:rPr>
          <w:rFonts w:hint="eastAsia"/>
          <w:spacing w:val="-25"/>
          <w:sz w:val="26"/>
          <w:szCs w:val="26"/>
        </w:rPr>
        <w:t xml:space="preserve">见附 </w:t>
      </w:r>
      <w:r>
        <w:rPr>
          <w:rFonts w:hint="eastAsia"/>
          <w:sz w:val="26"/>
          <w:szCs w:val="26"/>
        </w:rPr>
        <w:t>1）和可移动文物资源资产信息卡（</w:t>
      </w:r>
      <w:r>
        <w:rPr>
          <w:rFonts w:hint="eastAsia"/>
          <w:spacing w:val="-27"/>
          <w:sz w:val="26"/>
          <w:szCs w:val="26"/>
        </w:rPr>
        <w:t xml:space="preserve">见附 </w:t>
      </w:r>
      <w:r>
        <w:rPr>
          <w:rFonts w:hint="eastAsia"/>
          <w:sz w:val="26"/>
          <w:szCs w:val="26"/>
        </w:rPr>
        <w:t>2）。</w:t>
      </w:r>
    </w:p>
    <w:p>
      <w:pPr>
        <w:pStyle w:val="6"/>
        <w:spacing w:before="214" w:line="400" w:lineRule="exact"/>
        <w:ind w:right="317" w:firstLine="520" w:firstLineChars="200"/>
        <w:jc w:val="left"/>
        <w:rPr>
          <w:sz w:val="26"/>
          <w:szCs w:val="26"/>
        </w:rPr>
      </w:pPr>
      <w:r>
        <w:rPr>
          <w:rFonts w:hint="eastAsia" w:ascii="楷体" w:hAnsi="楷体" w:eastAsia="楷体" w:cs="楷体"/>
          <w:bCs/>
          <w:sz w:val="26"/>
          <w:szCs w:val="26"/>
        </w:rPr>
        <w:t>第十五条</w:t>
      </w:r>
      <w:r>
        <w:rPr>
          <w:rFonts w:hint="eastAsia"/>
          <w:b/>
          <w:sz w:val="26"/>
          <w:szCs w:val="26"/>
        </w:rPr>
        <w:t xml:space="preserve"> </w:t>
      </w:r>
      <w:r>
        <w:rPr>
          <w:rFonts w:hint="eastAsia"/>
          <w:sz w:val="26"/>
          <w:szCs w:val="26"/>
        </w:rPr>
        <w:t>不可移动文物资源资产信息卡主要内容包括基本信息、财务信息和管理信息。</w:t>
      </w:r>
    </w:p>
    <w:p>
      <w:pPr>
        <w:pStyle w:val="6"/>
        <w:spacing w:before="1" w:line="400" w:lineRule="exact"/>
        <w:ind w:right="305" w:firstLine="520" w:firstLineChars="200"/>
        <w:jc w:val="left"/>
        <w:rPr>
          <w:sz w:val="26"/>
          <w:szCs w:val="26"/>
        </w:rPr>
      </w:pPr>
      <w:r>
        <w:rPr>
          <w:rFonts w:hint="eastAsia"/>
          <w:sz w:val="26"/>
          <w:szCs w:val="26"/>
        </w:rPr>
        <w:t>基本信息主要包括：资产名称、文物级别、文物类别、公布日期、是否可计价、面积、具体地址、文物来源等；</w:t>
      </w:r>
    </w:p>
    <w:p>
      <w:pPr>
        <w:pStyle w:val="6"/>
        <w:spacing w:line="400" w:lineRule="exact"/>
        <w:ind w:right="305" w:firstLine="520" w:firstLineChars="200"/>
        <w:jc w:val="left"/>
        <w:rPr>
          <w:sz w:val="26"/>
          <w:szCs w:val="26"/>
        </w:rPr>
      </w:pPr>
      <w:r>
        <w:rPr>
          <w:rFonts w:hint="eastAsia"/>
          <w:sz w:val="26"/>
          <w:szCs w:val="26"/>
        </w:rPr>
        <w:t>财务信息主要包括：账面价值、价值类型、入账信息、资金来源等；</w:t>
      </w:r>
    </w:p>
    <w:p>
      <w:pPr>
        <w:pStyle w:val="6"/>
        <w:spacing w:line="400" w:lineRule="exact"/>
        <w:ind w:right="305" w:firstLine="520" w:firstLineChars="200"/>
        <w:jc w:val="left"/>
        <w:rPr>
          <w:sz w:val="26"/>
          <w:szCs w:val="26"/>
        </w:rPr>
      </w:pPr>
      <w:r>
        <w:rPr>
          <w:rFonts w:hint="eastAsia"/>
          <w:sz w:val="26"/>
          <w:szCs w:val="26"/>
        </w:rPr>
        <w:t>管理信息主要包括：管理部门、使用单位、管理人员、使用状况等。</w:t>
      </w:r>
    </w:p>
    <w:p>
      <w:pPr>
        <w:pStyle w:val="6"/>
        <w:spacing w:before="1" w:line="400" w:lineRule="exact"/>
        <w:ind w:right="317" w:firstLine="520" w:firstLineChars="200"/>
        <w:jc w:val="left"/>
        <w:rPr>
          <w:sz w:val="26"/>
          <w:szCs w:val="26"/>
        </w:rPr>
      </w:pPr>
      <w:r>
        <w:rPr>
          <w:rFonts w:hint="eastAsia" w:ascii="楷体" w:hAnsi="楷体" w:eastAsia="楷体" w:cs="楷体"/>
          <w:bCs/>
          <w:sz w:val="26"/>
          <w:szCs w:val="26"/>
        </w:rPr>
        <w:t>第十六条</w:t>
      </w:r>
      <w:r>
        <w:rPr>
          <w:rFonts w:hint="eastAsia"/>
          <w:b/>
          <w:sz w:val="26"/>
          <w:szCs w:val="26"/>
        </w:rPr>
        <w:t xml:space="preserve"> </w:t>
      </w:r>
      <w:r>
        <w:rPr>
          <w:rFonts w:hint="eastAsia"/>
          <w:sz w:val="26"/>
          <w:szCs w:val="26"/>
        </w:rPr>
        <w:t>可移动文物资源资产信息卡主要内容包括基本信息、财务信息和管理信息。</w:t>
      </w:r>
    </w:p>
    <w:p>
      <w:pPr>
        <w:pStyle w:val="6"/>
        <w:spacing w:line="400" w:lineRule="exact"/>
        <w:ind w:right="305" w:firstLine="520" w:firstLineChars="200"/>
        <w:jc w:val="left"/>
        <w:rPr>
          <w:sz w:val="26"/>
          <w:szCs w:val="26"/>
        </w:rPr>
      </w:pPr>
      <w:r>
        <w:rPr>
          <w:rFonts w:hint="eastAsia"/>
          <w:sz w:val="26"/>
          <w:szCs w:val="26"/>
        </w:rPr>
        <w:t>基本信息主要包括：资产名称、文物级别、文物类别、入藏日期、是否可计价、计量单位、文物来源等；</w:t>
      </w:r>
    </w:p>
    <w:p>
      <w:pPr>
        <w:pStyle w:val="6"/>
        <w:spacing w:before="1" w:line="400" w:lineRule="exact"/>
        <w:ind w:right="305" w:firstLine="520" w:firstLineChars="200"/>
        <w:jc w:val="left"/>
        <w:rPr>
          <w:sz w:val="26"/>
          <w:szCs w:val="26"/>
        </w:rPr>
      </w:pPr>
      <w:r>
        <w:rPr>
          <w:rFonts w:hint="eastAsia"/>
          <w:sz w:val="26"/>
          <w:szCs w:val="26"/>
        </w:rPr>
        <w:t>财务信息主要包括：账面价值、价值类型、入账信息、资金来源等；</w:t>
      </w:r>
    </w:p>
    <w:p>
      <w:pPr>
        <w:pStyle w:val="6"/>
        <w:spacing w:line="400" w:lineRule="exact"/>
        <w:ind w:right="305" w:firstLine="520" w:firstLineChars="200"/>
        <w:jc w:val="left"/>
        <w:rPr>
          <w:sz w:val="26"/>
          <w:szCs w:val="26"/>
        </w:rPr>
      </w:pPr>
      <w:r>
        <w:rPr>
          <w:rFonts w:hint="eastAsia"/>
          <w:sz w:val="26"/>
          <w:szCs w:val="26"/>
        </w:rPr>
        <w:t>管理信息主要包括：管理部门、收藏单位、管理人员、使用状况、存放地点等。</w:t>
      </w:r>
    </w:p>
    <w:p>
      <w:pPr>
        <w:pStyle w:val="6"/>
        <w:spacing w:line="400" w:lineRule="exact"/>
        <w:ind w:right="317" w:firstLine="524" w:firstLineChars="200"/>
        <w:jc w:val="left"/>
        <w:rPr>
          <w:sz w:val="26"/>
          <w:szCs w:val="26"/>
        </w:rPr>
      </w:pPr>
      <w:r>
        <w:rPr>
          <w:rFonts w:hint="eastAsia" w:ascii="楷体" w:hAnsi="楷体" w:eastAsia="楷体" w:cs="楷体"/>
          <w:bCs/>
          <w:spacing w:val="1"/>
          <w:sz w:val="26"/>
          <w:szCs w:val="26"/>
        </w:rPr>
        <w:t>第十七条</w:t>
      </w:r>
      <w:r>
        <w:rPr>
          <w:rFonts w:hint="eastAsia"/>
          <w:b/>
          <w:spacing w:val="1"/>
          <w:sz w:val="26"/>
          <w:szCs w:val="26"/>
        </w:rPr>
        <w:t xml:space="preserve"> </w:t>
      </w:r>
      <w:r>
        <w:rPr>
          <w:rFonts w:hint="eastAsia"/>
          <w:spacing w:val="4"/>
          <w:sz w:val="26"/>
          <w:szCs w:val="26"/>
        </w:rPr>
        <w:t>文物资源资产信息因调拨、交换、损毁、丢</w:t>
      </w:r>
      <w:r>
        <w:rPr>
          <w:rFonts w:hint="eastAsia"/>
          <w:spacing w:val="-2"/>
          <w:w w:val="95"/>
          <w:sz w:val="26"/>
          <w:szCs w:val="26"/>
        </w:rPr>
        <w:t>失、撤销退出等发生变动的，管理收藏单位应当及时变更资</w:t>
      </w:r>
      <w:r>
        <w:rPr>
          <w:rFonts w:hint="eastAsia"/>
          <w:spacing w:val="-2"/>
          <w:sz w:val="26"/>
          <w:szCs w:val="26"/>
        </w:rPr>
        <w:t>产信息卡，并同步调整有关账目。</w:t>
      </w:r>
    </w:p>
    <w:p>
      <w:pPr>
        <w:pStyle w:val="6"/>
        <w:spacing w:line="400" w:lineRule="exact"/>
        <w:ind w:right="158" w:firstLine="520" w:firstLineChars="200"/>
        <w:jc w:val="left"/>
        <w:rPr>
          <w:sz w:val="26"/>
          <w:szCs w:val="26"/>
        </w:rPr>
      </w:pPr>
      <w:r>
        <w:rPr>
          <w:rFonts w:hint="eastAsia" w:ascii="楷体" w:hAnsi="楷体" w:eastAsia="楷体" w:cs="楷体"/>
          <w:bCs/>
          <w:sz w:val="26"/>
          <w:szCs w:val="26"/>
        </w:rPr>
        <w:t>第十八条</w:t>
      </w:r>
      <w:r>
        <w:rPr>
          <w:rFonts w:hint="eastAsia"/>
          <w:b/>
          <w:sz w:val="26"/>
          <w:szCs w:val="26"/>
        </w:rPr>
        <w:t xml:space="preserve"> </w:t>
      </w:r>
      <w:r>
        <w:rPr>
          <w:rFonts w:hint="eastAsia"/>
          <w:sz w:val="26"/>
          <w:szCs w:val="26"/>
        </w:rPr>
        <w:t>各级财政部门、文物行政部门、管理收藏单位可以根据工作需要开展文物资源资产清查，清查工作程序</w:t>
      </w:r>
      <w:r>
        <w:rPr>
          <w:rFonts w:hint="eastAsia"/>
          <w:w w:val="95"/>
          <w:sz w:val="26"/>
          <w:szCs w:val="26"/>
        </w:rPr>
        <w:t>参照《行政事业单位资产清查核实管理办法》（财资〔2016〕</w:t>
      </w:r>
      <w:r>
        <w:rPr>
          <w:rFonts w:hint="eastAsia"/>
          <w:sz w:val="26"/>
          <w:szCs w:val="26"/>
        </w:rPr>
        <w:t>1 号）等相关规定执行。</w:t>
      </w:r>
    </w:p>
    <w:p>
      <w:pPr>
        <w:pStyle w:val="6"/>
        <w:spacing w:line="400" w:lineRule="exact"/>
        <w:ind w:firstLine="520" w:firstLineChars="200"/>
        <w:jc w:val="left"/>
        <w:rPr>
          <w:sz w:val="26"/>
          <w:szCs w:val="26"/>
        </w:rPr>
      </w:pPr>
    </w:p>
    <w:p>
      <w:pPr>
        <w:pStyle w:val="6"/>
        <w:spacing w:before="5"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文物资源资产保护利用</w:t>
      </w:r>
    </w:p>
    <w:p>
      <w:pPr>
        <w:pStyle w:val="6"/>
        <w:spacing w:before="214" w:line="400" w:lineRule="exact"/>
        <w:ind w:right="317" w:firstLine="524" w:firstLineChars="200"/>
        <w:jc w:val="left"/>
        <w:rPr>
          <w:spacing w:val="-4"/>
          <w:sz w:val="26"/>
          <w:szCs w:val="26"/>
        </w:rPr>
      </w:pPr>
      <w:r>
        <w:rPr>
          <w:rFonts w:hint="eastAsia" w:ascii="楷体" w:hAnsi="楷体" w:eastAsia="楷体" w:cs="楷体"/>
          <w:bCs/>
          <w:spacing w:val="1"/>
          <w:sz w:val="26"/>
          <w:szCs w:val="26"/>
        </w:rPr>
        <w:t xml:space="preserve">第十九条 </w:t>
      </w:r>
      <w:r>
        <w:rPr>
          <w:rFonts w:hint="eastAsia"/>
          <w:spacing w:val="4"/>
          <w:sz w:val="26"/>
          <w:szCs w:val="26"/>
        </w:rPr>
        <w:t>管理收藏单位应当建立文物资源资产接收、</w:t>
      </w:r>
      <w:r>
        <w:rPr>
          <w:rFonts w:hint="eastAsia"/>
          <w:spacing w:val="-3"/>
          <w:sz w:val="26"/>
          <w:szCs w:val="26"/>
        </w:rPr>
        <w:t>登记、鉴定、编目、档案、安全检查等保管保护制度，可移</w:t>
      </w:r>
      <w:r>
        <w:rPr>
          <w:rFonts w:hint="eastAsia"/>
          <w:spacing w:val="-4"/>
          <w:sz w:val="26"/>
          <w:szCs w:val="26"/>
        </w:rPr>
        <w:t>动文物收藏单位应当建立文物库房管理、修复复制等保管保护制度，明确管理责任，完善内部管理流程。</w:t>
      </w:r>
    </w:p>
    <w:p>
      <w:pPr>
        <w:pStyle w:val="6"/>
        <w:spacing w:before="214" w:line="400" w:lineRule="exact"/>
        <w:ind w:right="317" w:firstLine="516" w:firstLineChars="200"/>
        <w:jc w:val="left"/>
        <w:rPr>
          <w:sz w:val="26"/>
          <w:szCs w:val="26"/>
        </w:rPr>
      </w:pPr>
      <w:r>
        <w:rPr>
          <w:rFonts w:hint="eastAsia"/>
          <w:spacing w:val="-1"/>
          <w:sz w:val="26"/>
          <w:szCs w:val="26"/>
        </w:rPr>
        <w:t>管理收藏单位应当按照国家文物管理的有关规定，设立</w:t>
      </w:r>
      <w:r>
        <w:rPr>
          <w:rFonts w:hint="eastAsia"/>
          <w:spacing w:val="-3"/>
          <w:w w:val="95"/>
          <w:sz w:val="26"/>
          <w:szCs w:val="26"/>
        </w:rPr>
        <w:t>规范的文物库房，配备专业设施设备，安排专职人员进行管</w:t>
      </w:r>
      <w:r>
        <w:rPr>
          <w:rFonts w:hint="eastAsia"/>
          <w:spacing w:val="-3"/>
          <w:sz w:val="26"/>
          <w:szCs w:val="26"/>
        </w:rPr>
        <w:t>理，对文物资源资产进行账目清点，抽样核查。</w:t>
      </w:r>
    </w:p>
    <w:p>
      <w:pPr>
        <w:pStyle w:val="6"/>
        <w:spacing w:before="3" w:line="400" w:lineRule="exact"/>
        <w:ind w:right="317" w:firstLine="524" w:firstLineChars="200"/>
        <w:jc w:val="left"/>
        <w:rPr>
          <w:sz w:val="26"/>
          <w:szCs w:val="26"/>
        </w:rPr>
      </w:pPr>
      <w:r>
        <w:rPr>
          <w:rFonts w:hint="eastAsia" w:ascii="楷体" w:hAnsi="楷体" w:eastAsia="楷体" w:cs="楷体"/>
          <w:bCs/>
          <w:spacing w:val="1"/>
          <w:sz w:val="26"/>
          <w:szCs w:val="26"/>
        </w:rPr>
        <w:t>第二十条</w:t>
      </w:r>
      <w:r>
        <w:rPr>
          <w:rFonts w:hint="eastAsia"/>
          <w:b/>
          <w:spacing w:val="1"/>
          <w:sz w:val="26"/>
          <w:szCs w:val="26"/>
        </w:rPr>
        <w:t xml:space="preserve"> </w:t>
      </w:r>
      <w:r>
        <w:rPr>
          <w:rFonts w:hint="eastAsia"/>
          <w:spacing w:val="4"/>
          <w:sz w:val="26"/>
          <w:szCs w:val="26"/>
        </w:rPr>
        <w:t>管理收藏单位应当按照不损坏文物、不改变</w:t>
      </w:r>
      <w:r>
        <w:rPr>
          <w:rFonts w:hint="eastAsia"/>
          <w:spacing w:val="11"/>
          <w:w w:val="95"/>
          <w:sz w:val="26"/>
          <w:szCs w:val="26"/>
        </w:rPr>
        <w:t xml:space="preserve">文物原状等要求，对文物资源资产进行保养修缮和定期维 </w:t>
      </w:r>
      <w:r>
        <w:rPr>
          <w:rFonts w:hint="eastAsia"/>
          <w:spacing w:val="11"/>
          <w:sz w:val="26"/>
          <w:szCs w:val="26"/>
        </w:rPr>
        <w:t>护，不得损毁、改建、添建或者拆除不可移动文物。</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第二十一条</w:t>
      </w:r>
      <w:r>
        <w:rPr>
          <w:rFonts w:hint="eastAsia"/>
          <w:b/>
          <w:sz w:val="26"/>
          <w:szCs w:val="26"/>
        </w:rPr>
        <w:t xml:space="preserve"> </w:t>
      </w:r>
      <w:r>
        <w:rPr>
          <w:rFonts w:hint="eastAsia"/>
          <w:sz w:val="26"/>
          <w:szCs w:val="26"/>
        </w:rPr>
        <w:t>文物行政部门和其他主管部门可以通过购买服务方式对文物资源资产进行保养修缮，承接主体应当按照购买服务合同的约定承担相应管理责任。</w:t>
      </w:r>
    </w:p>
    <w:p>
      <w:pPr>
        <w:pStyle w:val="6"/>
        <w:spacing w:line="400" w:lineRule="exact"/>
        <w:ind w:right="317" w:firstLine="528" w:firstLineChars="200"/>
        <w:jc w:val="left"/>
        <w:rPr>
          <w:sz w:val="26"/>
          <w:szCs w:val="26"/>
        </w:rPr>
      </w:pPr>
      <w:r>
        <w:rPr>
          <w:rFonts w:hint="eastAsia" w:ascii="楷体" w:hAnsi="楷体" w:eastAsia="楷体" w:cs="楷体"/>
          <w:bCs/>
          <w:spacing w:val="2"/>
          <w:sz w:val="26"/>
          <w:szCs w:val="26"/>
        </w:rPr>
        <w:t>第二十二条</w:t>
      </w:r>
      <w:r>
        <w:rPr>
          <w:rFonts w:hint="eastAsia"/>
          <w:b/>
          <w:spacing w:val="2"/>
          <w:sz w:val="26"/>
          <w:szCs w:val="26"/>
        </w:rPr>
        <w:t xml:space="preserve"> </w:t>
      </w:r>
      <w:r>
        <w:rPr>
          <w:rFonts w:hint="eastAsia"/>
          <w:spacing w:val="7"/>
          <w:sz w:val="26"/>
          <w:szCs w:val="26"/>
        </w:rPr>
        <w:t>博物馆（</w:t>
      </w:r>
      <w:r>
        <w:rPr>
          <w:rFonts w:hint="eastAsia"/>
          <w:spacing w:val="6"/>
          <w:sz w:val="26"/>
          <w:szCs w:val="26"/>
        </w:rPr>
        <w:t>纪念馆</w:t>
      </w:r>
      <w:r>
        <w:rPr>
          <w:rFonts w:hint="eastAsia"/>
          <w:spacing w:val="7"/>
          <w:sz w:val="26"/>
          <w:szCs w:val="26"/>
        </w:rPr>
        <w:t>）</w:t>
      </w:r>
      <w:r>
        <w:rPr>
          <w:rFonts w:hint="eastAsia"/>
          <w:spacing w:val="5"/>
          <w:sz w:val="26"/>
          <w:szCs w:val="26"/>
        </w:rPr>
        <w:t>、图书馆等管理收藏单</w:t>
      </w:r>
      <w:r>
        <w:rPr>
          <w:rFonts w:hint="eastAsia"/>
          <w:sz w:val="26"/>
          <w:szCs w:val="26"/>
        </w:rPr>
        <w:t>位应当加强文物资源资产展示利用管理，有效盘活文物资源</w:t>
      </w:r>
      <w:r>
        <w:rPr>
          <w:rFonts w:hint="eastAsia"/>
          <w:spacing w:val="-4"/>
          <w:sz w:val="26"/>
          <w:szCs w:val="26"/>
        </w:rPr>
        <w:t>资产，提高文物资源资产利用效率，充分发挥文物宣传教育作用，满足社会公共文化需求。</w:t>
      </w:r>
    </w:p>
    <w:p>
      <w:pPr>
        <w:pStyle w:val="6"/>
        <w:spacing w:before="4" w:line="400" w:lineRule="exact"/>
        <w:ind w:right="317" w:firstLine="520" w:firstLineChars="200"/>
        <w:jc w:val="left"/>
        <w:rPr>
          <w:sz w:val="26"/>
          <w:szCs w:val="26"/>
        </w:rPr>
      </w:pPr>
      <w:r>
        <w:rPr>
          <w:rFonts w:hint="eastAsia" w:ascii="楷体" w:hAnsi="楷体" w:eastAsia="楷体" w:cs="楷体"/>
          <w:bCs/>
          <w:sz w:val="26"/>
          <w:szCs w:val="26"/>
        </w:rPr>
        <w:t xml:space="preserve">第二十三条 </w:t>
      </w:r>
      <w:r>
        <w:rPr>
          <w:rFonts w:hint="eastAsia"/>
          <w:sz w:val="26"/>
          <w:szCs w:val="26"/>
        </w:rPr>
        <w:t>考古科研教学机构等管理收藏单位应当加强文物资源资产的科学研究利用，做好文物科研标本的保管保护工作。</w:t>
      </w:r>
    </w:p>
    <w:p>
      <w:pPr>
        <w:pStyle w:val="6"/>
        <w:spacing w:before="214" w:line="400" w:lineRule="exact"/>
        <w:ind w:right="305" w:firstLine="524" w:firstLineChars="200"/>
        <w:jc w:val="left"/>
        <w:rPr>
          <w:spacing w:val="-3"/>
          <w:sz w:val="26"/>
          <w:szCs w:val="26"/>
        </w:rPr>
      </w:pPr>
      <w:r>
        <w:rPr>
          <w:rFonts w:hint="eastAsia" w:ascii="楷体" w:hAnsi="楷体" w:eastAsia="楷体" w:cs="楷体"/>
          <w:bCs/>
          <w:spacing w:val="1"/>
          <w:sz w:val="26"/>
          <w:szCs w:val="26"/>
        </w:rPr>
        <w:t>第二十四条</w:t>
      </w:r>
      <w:r>
        <w:rPr>
          <w:rFonts w:hint="eastAsia"/>
          <w:b/>
          <w:spacing w:val="1"/>
          <w:sz w:val="26"/>
          <w:szCs w:val="26"/>
        </w:rPr>
        <w:t xml:space="preserve"> </w:t>
      </w:r>
      <w:r>
        <w:rPr>
          <w:rFonts w:hint="eastAsia"/>
          <w:spacing w:val="-3"/>
          <w:sz w:val="26"/>
          <w:szCs w:val="26"/>
        </w:rPr>
        <w:t>其他管理收藏单位应当做好所收藏文物资源资产的管理工作，相关文物行政部门可以安排专业人员协 助。涉及文物行业管理事项，管理收藏单位应当按照文物行政部门的规定执行；涉及文物资源资产管理情况报告等事项，管理收藏单位应当按照行政和财务隶属关系报送情况。</w:t>
      </w:r>
    </w:p>
    <w:p>
      <w:pPr>
        <w:pStyle w:val="6"/>
        <w:spacing w:before="214" w:line="400" w:lineRule="exact"/>
        <w:ind w:right="305" w:firstLine="524" w:firstLineChars="200"/>
        <w:jc w:val="left"/>
        <w:rPr>
          <w:sz w:val="26"/>
          <w:szCs w:val="26"/>
        </w:rPr>
      </w:pPr>
      <w:r>
        <w:rPr>
          <w:rFonts w:hint="eastAsia" w:ascii="楷体" w:hAnsi="楷体" w:eastAsia="楷体" w:cs="楷体"/>
          <w:bCs/>
          <w:spacing w:val="1"/>
          <w:sz w:val="26"/>
          <w:szCs w:val="26"/>
        </w:rPr>
        <w:t>第二十五条</w:t>
      </w:r>
      <w:r>
        <w:rPr>
          <w:rFonts w:hint="eastAsia"/>
          <w:b/>
          <w:spacing w:val="1"/>
          <w:sz w:val="26"/>
          <w:szCs w:val="26"/>
        </w:rPr>
        <w:t xml:space="preserve"> </w:t>
      </w:r>
      <w:r>
        <w:rPr>
          <w:rFonts w:hint="eastAsia"/>
          <w:spacing w:val="4"/>
          <w:sz w:val="26"/>
          <w:szCs w:val="26"/>
        </w:rPr>
        <w:t>可移动文物借展借用、调拨、损毁丢失，</w:t>
      </w:r>
    </w:p>
    <w:p>
      <w:pPr>
        <w:pStyle w:val="6"/>
        <w:spacing w:before="5" w:line="400" w:lineRule="exact"/>
        <w:ind w:right="317" w:firstLine="516" w:firstLineChars="200"/>
        <w:jc w:val="left"/>
        <w:rPr>
          <w:sz w:val="26"/>
          <w:szCs w:val="26"/>
        </w:rPr>
      </w:pPr>
      <w:r>
        <w:rPr>
          <w:rFonts w:hint="eastAsia"/>
          <w:spacing w:val="-1"/>
          <w:sz w:val="26"/>
          <w:szCs w:val="26"/>
        </w:rPr>
        <w:t>以及不可移动文物拆除等应当按照《中华人民共和国文物保</w:t>
      </w:r>
      <w:r>
        <w:rPr>
          <w:rFonts w:hint="eastAsia"/>
          <w:spacing w:val="-4"/>
          <w:sz w:val="26"/>
          <w:szCs w:val="26"/>
        </w:rPr>
        <w:t>护法》、《中华人民共和国文物保护法实施条例》等相关规定执行。</w:t>
      </w:r>
    </w:p>
    <w:p>
      <w:pPr>
        <w:pStyle w:val="6"/>
        <w:spacing w:line="400" w:lineRule="exact"/>
        <w:ind w:right="317" w:firstLine="528" w:firstLineChars="200"/>
        <w:jc w:val="left"/>
        <w:rPr>
          <w:sz w:val="26"/>
          <w:szCs w:val="26"/>
        </w:rPr>
      </w:pPr>
      <w:r>
        <w:rPr>
          <w:rFonts w:hint="eastAsia" w:ascii="楷体" w:hAnsi="楷体" w:eastAsia="楷体" w:cs="楷体"/>
          <w:bCs/>
          <w:spacing w:val="2"/>
          <w:sz w:val="26"/>
          <w:szCs w:val="26"/>
        </w:rPr>
        <w:t>第二十六条</w:t>
      </w:r>
      <w:r>
        <w:rPr>
          <w:rFonts w:hint="eastAsia"/>
          <w:b/>
          <w:spacing w:val="2"/>
          <w:sz w:val="26"/>
          <w:szCs w:val="26"/>
        </w:rPr>
        <w:t xml:space="preserve"> </w:t>
      </w:r>
      <w:r>
        <w:rPr>
          <w:rFonts w:hint="eastAsia"/>
          <w:spacing w:val="4"/>
          <w:sz w:val="26"/>
          <w:szCs w:val="26"/>
        </w:rPr>
        <w:t>文物资源资产调拨、拆除或者发生损毁丢</w:t>
      </w:r>
      <w:r>
        <w:rPr>
          <w:rFonts w:hint="eastAsia"/>
          <w:spacing w:val="-1"/>
          <w:sz w:val="26"/>
          <w:szCs w:val="26"/>
        </w:rPr>
        <w:t>失的，管理收藏单位应当按照规定程序核查处理后，及时调整或者核销账务，并在年度国有资产报告中作出说明。</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第二十七条</w:t>
      </w:r>
      <w:r>
        <w:rPr>
          <w:rFonts w:hint="eastAsia"/>
          <w:b/>
          <w:sz w:val="26"/>
          <w:szCs w:val="26"/>
        </w:rPr>
        <w:t xml:space="preserve"> </w:t>
      </w:r>
      <w:r>
        <w:rPr>
          <w:rFonts w:hint="eastAsia"/>
          <w:sz w:val="26"/>
          <w:szCs w:val="26"/>
        </w:rPr>
        <w:t>撤销退出是指不可移动文物降级撤销和可移动文物退出。文物资源资产撤销退出按照国家有关规定执行。</w:t>
      </w:r>
    </w:p>
    <w:p>
      <w:pPr>
        <w:pStyle w:val="6"/>
        <w:spacing w:before="3" w:line="400" w:lineRule="exact"/>
        <w:ind w:right="317" w:firstLine="520" w:firstLineChars="200"/>
        <w:jc w:val="left"/>
        <w:rPr>
          <w:sz w:val="26"/>
          <w:szCs w:val="26"/>
        </w:rPr>
      </w:pPr>
      <w:r>
        <w:rPr>
          <w:rFonts w:hint="eastAsia" w:ascii="楷体" w:hAnsi="楷体" w:eastAsia="楷体" w:cs="楷体"/>
          <w:bCs/>
          <w:sz w:val="26"/>
          <w:szCs w:val="26"/>
        </w:rPr>
        <w:t>第二十八条</w:t>
      </w:r>
      <w:r>
        <w:rPr>
          <w:rFonts w:hint="eastAsia"/>
          <w:b/>
          <w:sz w:val="26"/>
          <w:szCs w:val="26"/>
        </w:rPr>
        <w:t xml:space="preserve"> </w:t>
      </w:r>
      <w:r>
        <w:rPr>
          <w:rFonts w:hint="eastAsia"/>
          <w:sz w:val="26"/>
          <w:szCs w:val="26"/>
        </w:rPr>
        <w:t>管理收藏单位禁止利用文物资源资产进行对外投资和担保。国有文物收藏单位禁止将馆藏文物资源资产赠予、出租或者出售给其他单位、个人。</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第二十九条</w:t>
      </w:r>
      <w:r>
        <w:rPr>
          <w:rFonts w:hint="eastAsia"/>
          <w:b/>
          <w:sz w:val="26"/>
          <w:szCs w:val="26"/>
        </w:rPr>
        <w:t xml:space="preserve"> </w:t>
      </w:r>
      <w:r>
        <w:rPr>
          <w:rFonts w:hint="eastAsia"/>
          <w:sz w:val="26"/>
          <w:szCs w:val="26"/>
        </w:rPr>
        <w:t>文物资源资产借展、交换、调拨等发生的补偿费用应当纳入单位年度预算，专门用于改善文物的收藏条件和文物征集，不得挪作他用。</w:t>
      </w:r>
      <w:r>
        <w:rPr>
          <w:rFonts w:hint="eastAsia"/>
          <w:spacing w:val="-1"/>
          <w:sz w:val="26"/>
          <w:szCs w:val="26"/>
        </w:rPr>
        <w:t>文物资源资产管理产生的其他收入属于政府所有的，应</w:t>
      </w:r>
      <w:r>
        <w:rPr>
          <w:rFonts w:hint="eastAsia"/>
          <w:spacing w:val="-2"/>
          <w:sz w:val="26"/>
          <w:szCs w:val="26"/>
        </w:rPr>
        <w:t>当按照政府非税收入管理和国库集中收缴管理有关规定，上缴同级国库。</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文物资源资产信息化管理</w:t>
      </w:r>
    </w:p>
    <w:p>
      <w:pPr>
        <w:pStyle w:val="6"/>
        <w:spacing w:before="214" w:line="400" w:lineRule="exact"/>
        <w:ind w:right="317" w:firstLine="524" w:firstLineChars="200"/>
        <w:jc w:val="left"/>
        <w:rPr>
          <w:sz w:val="26"/>
          <w:szCs w:val="26"/>
        </w:rPr>
      </w:pPr>
      <w:r>
        <w:rPr>
          <w:rFonts w:hint="eastAsia" w:ascii="楷体" w:hAnsi="楷体" w:eastAsia="楷体" w:cs="楷体"/>
          <w:bCs/>
          <w:spacing w:val="1"/>
          <w:sz w:val="26"/>
          <w:szCs w:val="26"/>
        </w:rPr>
        <w:t>第三十条</w:t>
      </w:r>
      <w:r>
        <w:rPr>
          <w:rFonts w:hint="eastAsia"/>
          <w:b/>
          <w:spacing w:val="1"/>
          <w:sz w:val="26"/>
          <w:szCs w:val="26"/>
        </w:rPr>
        <w:t xml:space="preserve"> </w:t>
      </w:r>
      <w:r>
        <w:rPr>
          <w:rFonts w:hint="eastAsia"/>
          <w:spacing w:val="5"/>
          <w:sz w:val="26"/>
          <w:szCs w:val="26"/>
        </w:rPr>
        <w:t>财政部会同文物行政主管部门提出资产管理</w:t>
      </w:r>
      <w:r>
        <w:rPr>
          <w:rFonts w:hint="eastAsia"/>
          <w:spacing w:val="-1"/>
          <w:w w:val="95"/>
          <w:sz w:val="26"/>
          <w:szCs w:val="26"/>
        </w:rPr>
        <w:t>相关信息化要求，制定文物资源资产管理信息数据规范，建</w:t>
      </w:r>
      <w:r>
        <w:rPr>
          <w:rFonts w:hint="eastAsia"/>
          <w:spacing w:val="-1"/>
          <w:sz w:val="26"/>
          <w:szCs w:val="26"/>
        </w:rPr>
        <w:t>立资产管理信息集中共享机制。</w:t>
      </w:r>
    </w:p>
    <w:p>
      <w:pPr>
        <w:pStyle w:val="6"/>
        <w:spacing w:before="3" w:line="400" w:lineRule="exact"/>
        <w:ind w:right="317" w:firstLine="528" w:firstLineChars="200"/>
        <w:jc w:val="left"/>
        <w:rPr>
          <w:sz w:val="26"/>
          <w:szCs w:val="26"/>
        </w:rPr>
      </w:pPr>
      <w:r>
        <w:rPr>
          <w:rFonts w:hint="eastAsia" w:ascii="楷体" w:hAnsi="楷体" w:eastAsia="楷体" w:cs="楷体"/>
          <w:bCs/>
          <w:spacing w:val="2"/>
          <w:sz w:val="26"/>
          <w:szCs w:val="26"/>
        </w:rPr>
        <w:t>第三十一条</w:t>
      </w:r>
      <w:r>
        <w:rPr>
          <w:rFonts w:hint="eastAsia"/>
          <w:b/>
          <w:spacing w:val="2"/>
          <w:sz w:val="26"/>
          <w:szCs w:val="26"/>
        </w:rPr>
        <w:t xml:space="preserve"> </w:t>
      </w:r>
      <w:r>
        <w:rPr>
          <w:rFonts w:hint="eastAsia"/>
          <w:spacing w:val="4"/>
          <w:sz w:val="26"/>
          <w:szCs w:val="26"/>
        </w:rPr>
        <w:t>文物资源资产管理应当按照资产管理信息化要求，建立文物资源资产动态管理机制。</w:t>
      </w:r>
    </w:p>
    <w:p>
      <w:pPr>
        <w:pStyle w:val="6"/>
        <w:spacing w:before="1" w:line="400" w:lineRule="exact"/>
        <w:ind w:right="317" w:firstLine="546" w:firstLineChars="200"/>
        <w:jc w:val="left"/>
        <w:rPr>
          <w:sz w:val="26"/>
          <w:szCs w:val="26"/>
        </w:rPr>
      </w:pPr>
      <w:r>
        <w:rPr>
          <w:rFonts w:hint="eastAsia"/>
          <w:spacing w:val="13"/>
          <w:w w:val="95"/>
          <w:sz w:val="26"/>
          <w:szCs w:val="26"/>
        </w:rPr>
        <w:t>有条件的地区和管理收藏单位可以结合地理信息地图</w:t>
      </w:r>
      <w:r>
        <w:rPr>
          <w:rFonts w:hint="eastAsia"/>
          <w:spacing w:val="13"/>
          <w:sz w:val="26"/>
          <w:szCs w:val="26"/>
        </w:rPr>
        <w:t>对不可移动文物资源资产进行信息化管理。</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第三十二条</w:t>
      </w:r>
      <w:r>
        <w:rPr>
          <w:rFonts w:hint="eastAsia"/>
          <w:b/>
          <w:sz w:val="26"/>
          <w:szCs w:val="26"/>
        </w:rPr>
        <w:t xml:space="preserve"> </w:t>
      </w:r>
      <w:r>
        <w:rPr>
          <w:rFonts w:hint="eastAsia"/>
          <w:sz w:val="26"/>
          <w:szCs w:val="26"/>
        </w:rPr>
        <w:t>资产管理信息系统中的文物资源资产信息应当与文物普查数据库中的文物信息相衔接，文物资源资产行业管理信息应当以文物普查数据库为准并保持一致。</w:t>
      </w:r>
    </w:p>
    <w:p>
      <w:pPr>
        <w:pStyle w:val="6"/>
        <w:spacing w:line="400" w:lineRule="exact"/>
        <w:ind w:right="275" w:firstLine="520" w:firstLineChars="200"/>
        <w:jc w:val="left"/>
        <w:rPr>
          <w:sz w:val="26"/>
          <w:szCs w:val="26"/>
        </w:rPr>
      </w:pPr>
      <w:r>
        <w:rPr>
          <w:rFonts w:hint="eastAsia"/>
          <w:sz w:val="26"/>
          <w:szCs w:val="26"/>
        </w:rPr>
        <w:t>存量文物资源资产数据应当作为管理维护、保养修缮预算支出安排的重要依据。</w:t>
      </w:r>
    </w:p>
    <w:p>
      <w:pPr>
        <w:pStyle w:val="6"/>
        <w:spacing w:line="400" w:lineRule="exact"/>
        <w:ind w:right="305" w:firstLine="520" w:firstLineChars="200"/>
        <w:jc w:val="left"/>
        <w:rPr>
          <w:sz w:val="26"/>
          <w:szCs w:val="26"/>
        </w:rPr>
      </w:pPr>
      <w:r>
        <w:rPr>
          <w:rFonts w:hint="eastAsia" w:ascii="楷体" w:hAnsi="楷体" w:eastAsia="楷体" w:cs="楷体"/>
          <w:bCs/>
          <w:sz w:val="26"/>
          <w:szCs w:val="26"/>
        </w:rPr>
        <w:t>第三十三条</w:t>
      </w:r>
      <w:r>
        <w:rPr>
          <w:rFonts w:hint="eastAsia"/>
          <w:b/>
          <w:sz w:val="26"/>
          <w:szCs w:val="26"/>
        </w:rPr>
        <w:t xml:space="preserve"> </w:t>
      </w:r>
      <w:r>
        <w:rPr>
          <w:rFonts w:hint="eastAsia"/>
          <w:sz w:val="26"/>
          <w:szCs w:val="26"/>
        </w:rPr>
        <w:t>管理收藏单位应当按照文物资源资产信息卡规定内容，及时录入文物资源资产管理信息。文物资源资产管理信息发生变动的，管理收藏单位应当及时更新信息， 保证文物资源资产信息数据真实、准确、完整。</w:t>
      </w:r>
    </w:p>
    <w:p>
      <w:pPr>
        <w:pStyle w:val="6"/>
        <w:spacing w:line="400" w:lineRule="exact"/>
        <w:ind w:right="305" w:firstLine="520" w:firstLineChars="200"/>
        <w:jc w:val="left"/>
        <w:rPr>
          <w:sz w:val="26"/>
          <w:szCs w:val="26"/>
        </w:rPr>
      </w:pPr>
      <w:r>
        <w:rPr>
          <w:rFonts w:hint="eastAsia" w:ascii="楷体" w:hAnsi="楷体" w:eastAsia="楷体" w:cs="楷体"/>
          <w:bCs/>
          <w:sz w:val="26"/>
          <w:szCs w:val="26"/>
        </w:rPr>
        <w:t>第三十四条</w:t>
      </w:r>
      <w:r>
        <w:rPr>
          <w:rFonts w:hint="eastAsia"/>
          <w:b/>
          <w:sz w:val="26"/>
          <w:szCs w:val="26"/>
        </w:rPr>
        <w:t xml:space="preserve"> </w:t>
      </w:r>
      <w:r>
        <w:rPr>
          <w:rFonts w:hint="eastAsia"/>
          <w:sz w:val="26"/>
          <w:szCs w:val="26"/>
        </w:rPr>
        <w:t>各级文物行政部门可以根据文物资源资产管理实际情况，组织开发符合文物资源资产管理特点的个性化功能模块，加强与资产管理信息系统衔接。</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文物资源资产报告</w:t>
      </w:r>
    </w:p>
    <w:p>
      <w:pPr>
        <w:pStyle w:val="6"/>
        <w:spacing w:before="214" w:line="400" w:lineRule="exact"/>
        <w:ind w:right="305" w:firstLine="520" w:firstLineChars="200"/>
        <w:jc w:val="left"/>
        <w:rPr>
          <w:sz w:val="26"/>
          <w:szCs w:val="26"/>
        </w:rPr>
      </w:pPr>
      <w:r>
        <w:rPr>
          <w:rFonts w:hint="eastAsia" w:ascii="楷体" w:hAnsi="楷体" w:eastAsia="楷体" w:cs="楷体"/>
          <w:bCs/>
          <w:sz w:val="26"/>
          <w:szCs w:val="26"/>
        </w:rPr>
        <w:t>第三十五条</w:t>
      </w:r>
      <w:r>
        <w:rPr>
          <w:rFonts w:hint="eastAsia"/>
          <w:b/>
          <w:sz w:val="26"/>
          <w:szCs w:val="26"/>
        </w:rPr>
        <w:t xml:space="preserve"> </w:t>
      </w:r>
      <w:r>
        <w:rPr>
          <w:rFonts w:hint="eastAsia"/>
          <w:sz w:val="26"/>
          <w:szCs w:val="26"/>
        </w:rPr>
        <w:t>文物资源资产管理情况是国有资产报告的组成部分，应当纳入本级政府年度国有资产管理情况报告。</w:t>
      </w:r>
    </w:p>
    <w:p>
      <w:pPr>
        <w:pStyle w:val="6"/>
        <w:spacing w:before="214" w:line="400" w:lineRule="exact"/>
        <w:ind w:right="305" w:firstLine="520" w:firstLineChars="200"/>
        <w:jc w:val="left"/>
        <w:rPr>
          <w:sz w:val="26"/>
          <w:szCs w:val="26"/>
        </w:rPr>
      </w:pPr>
      <w:r>
        <w:rPr>
          <w:rFonts w:hint="eastAsia" w:ascii="楷体" w:hAnsi="楷体" w:eastAsia="楷体" w:cs="楷体"/>
          <w:bCs/>
          <w:sz w:val="26"/>
          <w:szCs w:val="26"/>
        </w:rPr>
        <w:t>第三十六条</w:t>
      </w:r>
      <w:r>
        <w:rPr>
          <w:rFonts w:hint="eastAsia"/>
          <w:b/>
          <w:sz w:val="26"/>
          <w:szCs w:val="26"/>
        </w:rPr>
        <w:t xml:space="preserve"> </w:t>
      </w:r>
      <w:r>
        <w:rPr>
          <w:rFonts w:hint="eastAsia"/>
          <w:sz w:val="26"/>
          <w:szCs w:val="26"/>
        </w:rPr>
        <w:t>文物资源资产管理情况年度报告主要内容包括：</w:t>
      </w:r>
    </w:p>
    <w:p>
      <w:pPr>
        <w:pStyle w:val="6"/>
        <w:spacing w:before="3" w:line="400" w:lineRule="exact"/>
        <w:ind w:firstLine="520" w:firstLineChars="200"/>
        <w:jc w:val="left"/>
        <w:rPr>
          <w:sz w:val="26"/>
          <w:szCs w:val="26"/>
        </w:rPr>
      </w:pPr>
      <w:r>
        <w:rPr>
          <w:rFonts w:hint="eastAsia"/>
          <w:sz w:val="26"/>
          <w:szCs w:val="26"/>
        </w:rPr>
        <w:t>（一）文物资源资产的实物量与价值量及增减变动、规模、性质、分类等情况；</w:t>
      </w:r>
    </w:p>
    <w:p>
      <w:pPr>
        <w:pStyle w:val="6"/>
        <w:spacing w:before="3" w:line="400" w:lineRule="exact"/>
        <w:ind w:firstLine="520" w:firstLineChars="200"/>
        <w:jc w:val="left"/>
        <w:rPr>
          <w:sz w:val="26"/>
          <w:szCs w:val="26"/>
        </w:rPr>
      </w:pPr>
      <w:r>
        <w:rPr>
          <w:rFonts w:hint="eastAsia"/>
          <w:sz w:val="26"/>
          <w:szCs w:val="26"/>
        </w:rPr>
        <w:t>（二）文物资源资产相关管理制度建立和实施情况；</w:t>
      </w:r>
    </w:p>
    <w:p>
      <w:pPr>
        <w:pStyle w:val="6"/>
        <w:spacing w:before="3" w:line="400" w:lineRule="exact"/>
        <w:ind w:firstLine="520" w:firstLineChars="200"/>
        <w:jc w:val="left"/>
        <w:rPr>
          <w:spacing w:val="-2"/>
          <w:sz w:val="26"/>
          <w:szCs w:val="26"/>
        </w:rPr>
      </w:pPr>
      <w:r>
        <w:rPr>
          <w:rFonts w:hint="eastAsia"/>
          <w:sz w:val="26"/>
          <w:szCs w:val="26"/>
        </w:rPr>
        <w:t>（三）</w:t>
      </w:r>
      <w:r>
        <w:rPr>
          <w:rFonts w:hint="eastAsia"/>
          <w:spacing w:val="-2"/>
          <w:w w:val="95"/>
          <w:sz w:val="26"/>
          <w:szCs w:val="26"/>
        </w:rPr>
        <w:t>文物资源资产取得、保管保护、研究利用和收入</w:t>
      </w:r>
      <w:r>
        <w:rPr>
          <w:rFonts w:hint="eastAsia"/>
          <w:spacing w:val="-2"/>
          <w:sz w:val="26"/>
          <w:szCs w:val="26"/>
        </w:rPr>
        <w:t>情况；</w:t>
      </w:r>
    </w:p>
    <w:p>
      <w:pPr>
        <w:pStyle w:val="6"/>
        <w:spacing w:before="3" w:line="400" w:lineRule="exact"/>
        <w:ind w:firstLine="520" w:firstLineChars="200"/>
        <w:jc w:val="left"/>
        <w:rPr>
          <w:sz w:val="26"/>
          <w:szCs w:val="26"/>
        </w:rPr>
      </w:pPr>
      <w:r>
        <w:rPr>
          <w:rFonts w:hint="eastAsia"/>
          <w:sz w:val="26"/>
          <w:szCs w:val="26"/>
        </w:rPr>
        <w:t>（四）文物资源资产调拨、拆除、损毁、丢失、管理信息变动等情况；</w:t>
      </w:r>
    </w:p>
    <w:p>
      <w:pPr>
        <w:pStyle w:val="6"/>
        <w:spacing w:before="3" w:line="400" w:lineRule="exact"/>
        <w:ind w:firstLine="520" w:firstLineChars="200"/>
        <w:jc w:val="left"/>
        <w:rPr>
          <w:sz w:val="26"/>
          <w:szCs w:val="26"/>
        </w:rPr>
      </w:pPr>
      <w:r>
        <w:rPr>
          <w:rFonts w:hint="eastAsia"/>
          <w:sz w:val="26"/>
          <w:szCs w:val="26"/>
        </w:rPr>
        <w:t>（五）</w:t>
      </w:r>
      <w:r>
        <w:rPr>
          <w:rFonts w:hint="eastAsia"/>
          <w:w w:val="95"/>
          <w:sz w:val="26"/>
          <w:szCs w:val="26"/>
        </w:rPr>
        <w:t>其他需要报告的事项。</w:t>
      </w:r>
    </w:p>
    <w:p>
      <w:pPr>
        <w:pStyle w:val="6"/>
        <w:spacing w:before="214" w:line="400" w:lineRule="exact"/>
        <w:ind w:right="317" w:firstLine="528" w:firstLineChars="200"/>
        <w:jc w:val="left"/>
        <w:rPr>
          <w:sz w:val="26"/>
          <w:szCs w:val="26"/>
        </w:rPr>
      </w:pPr>
      <w:r>
        <w:rPr>
          <w:rFonts w:hint="eastAsia" w:ascii="楷体" w:hAnsi="楷体" w:eastAsia="楷体" w:cs="楷体"/>
          <w:bCs/>
          <w:spacing w:val="2"/>
          <w:sz w:val="26"/>
          <w:szCs w:val="26"/>
        </w:rPr>
        <w:t>第三十七条</w:t>
      </w:r>
      <w:r>
        <w:rPr>
          <w:rFonts w:hint="eastAsia"/>
          <w:b/>
          <w:spacing w:val="2"/>
          <w:sz w:val="26"/>
          <w:szCs w:val="26"/>
        </w:rPr>
        <w:t xml:space="preserve"> </w:t>
      </w:r>
      <w:r>
        <w:rPr>
          <w:rFonts w:hint="eastAsia"/>
          <w:spacing w:val="4"/>
          <w:sz w:val="26"/>
          <w:szCs w:val="26"/>
        </w:rPr>
        <w:t>管理收藏单位应当将本单位文物资源资产</w:t>
      </w:r>
      <w:r>
        <w:rPr>
          <w:rFonts w:hint="eastAsia"/>
          <w:sz w:val="26"/>
          <w:szCs w:val="26"/>
        </w:rPr>
        <w:t>管理情况纳入本单位财务报告和国有资产年度报告，按照规</w:t>
      </w:r>
      <w:r>
        <w:rPr>
          <w:rFonts w:hint="eastAsia"/>
          <w:spacing w:val="-1"/>
          <w:sz w:val="26"/>
          <w:szCs w:val="26"/>
        </w:rPr>
        <w:t>定的程序报送上级文物行政部门或其他主管部门，并对报告的真实性、准确性和完整性负责。</w:t>
      </w:r>
    </w:p>
    <w:p>
      <w:pPr>
        <w:pStyle w:val="6"/>
        <w:spacing w:before="3" w:line="400" w:lineRule="exact"/>
        <w:ind w:right="317" w:firstLine="520" w:firstLineChars="200"/>
        <w:jc w:val="left"/>
        <w:rPr>
          <w:sz w:val="26"/>
          <w:szCs w:val="26"/>
        </w:rPr>
      </w:pPr>
      <w:r>
        <w:rPr>
          <w:rFonts w:hint="eastAsia" w:ascii="楷体" w:hAnsi="楷体" w:eastAsia="楷体" w:cs="楷体"/>
          <w:bCs/>
          <w:sz w:val="26"/>
          <w:szCs w:val="26"/>
        </w:rPr>
        <w:t xml:space="preserve">第三十八条 </w:t>
      </w:r>
      <w:r>
        <w:rPr>
          <w:rFonts w:hint="eastAsia"/>
          <w:sz w:val="26"/>
          <w:szCs w:val="26"/>
        </w:rPr>
        <w:t>各级文物行政部门和其他主管部门应当根据国有资产报告制度规定的程序，审核汇总所属管理收藏单位文物资源资产管理情况，并报送同级财政部门。</w:t>
      </w:r>
    </w:p>
    <w:p>
      <w:pPr>
        <w:pStyle w:val="6"/>
        <w:spacing w:before="214" w:line="400" w:lineRule="exact"/>
        <w:ind w:right="317" w:firstLine="528" w:firstLineChars="200"/>
        <w:jc w:val="left"/>
        <w:rPr>
          <w:sz w:val="26"/>
          <w:szCs w:val="26"/>
        </w:rPr>
      </w:pPr>
      <w:r>
        <w:rPr>
          <w:rFonts w:hint="eastAsia" w:ascii="楷体" w:hAnsi="楷体" w:eastAsia="楷体" w:cs="楷体"/>
          <w:bCs/>
          <w:spacing w:val="2"/>
          <w:sz w:val="26"/>
          <w:szCs w:val="26"/>
        </w:rPr>
        <w:t>第三十九条</w:t>
      </w:r>
      <w:r>
        <w:rPr>
          <w:rFonts w:hint="eastAsia"/>
          <w:b/>
          <w:spacing w:val="2"/>
          <w:sz w:val="26"/>
          <w:szCs w:val="26"/>
        </w:rPr>
        <w:t xml:space="preserve"> </w:t>
      </w:r>
      <w:r>
        <w:rPr>
          <w:rFonts w:hint="eastAsia"/>
          <w:spacing w:val="4"/>
          <w:sz w:val="26"/>
          <w:szCs w:val="26"/>
        </w:rPr>
        <w:t>各级财政部门负责汇总本地区文物资源资</w:t>
      </w:r>
      <w:r>
        <w:rPr>
          <w:rFonts w:hint="eastAsia"/>
          <w:spacing w:val="-1"/>
          <w:sz w:val="26"/>
          <w:szCs w:val="26"/>
        </w:rPr>
        <w:t>产管理情况，并纳入本级政府年度国有资产报告，由本级人</w:t>
      </w:r>
      <w:r>
        <w:rPr>
          <w:rFonts w:hint="eastAsia"/>
          <w:spacing w:val="-2"/>
          <w:sz w:val="26"/>
          <w:szCs w:val="26"/>
        </w:rPr>
        <w:t>民政府向本级人大常委会报告，同时按照规定程序报送上一级财政部门。</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监督检查</w:t>
      </w:r>
    </w:p>
    <w:p>
      <w:pPr>
        <w:pStyle w:val="6"/>
        <w:spacing w:before="214" w:line="400" w:lineRule="exact"/>
        <w:ind w:right="305" w:firstLine="520" w:firstLineChars="200"/>
        <w:jc w:val="left"/>
        <w:rPr>
          <w:w w:val="95"/>
          <w:sz w:val="26"/>
          <w:szCs w:val="26"/>
        </w:rPr>
      </w:pPr>
      <w:r>
        <w:rPr>
          <w:rFonts w:hint="eastAsia" w:ascii="楷体" w:hAnsi="楷体" w:eastAsia="楷体" w:cs="楷体"/>
          <w:bCs/>
          <w:sz w:val="26"/>
          <w:szCs w:val="26"/>
        </w:rPr>
        <w:t>第四十条</w:t>
      </w:r>
      <w:r>
        <w:rPr>
          <w:rFonts w:hint="eastAsia"/>
          <w:b/>
          <w:sz w:val="26"/>
          <w:szCs w:val="26"/>
        </w:rPr>
        <w:t xml:space="preserve"> </w:t>
      </w:r>
      <w:r>
        <w:rPr>
          <w:rFonts w:hint="eastAsia"/>
          <w:spacing w:val="-1"/>
          <w:sz w:val="26"/>
          <w:szCs w:val="26"/>
        </w:rPr>
        <w:t>各级财政部门、文物行政部门可以根据工作需要，定期或不定期开展文物资源资产管理专项监督检查。</w:t>
      </w:r>
      <w:r>
        <w:rPr>
          <w:rFonts w:hint="eastAsia"/>
          <w:w w:val="95"/>
          <w:sz w:val="26"/>
          <w:szCs w:val="26"/>
        </w:rPr>
        <w:t xml:space="preserve"> </w:t>
      </w:r>
    </w:p>
    <w:p>
      <w:pPr>
        <w:pStyle w:val="6"/>
        <w:spacing w:before="214" w:line="400" w:lineRule="exact"/>
        <w:ind w:right="305" w:firstLine="520" w:firstLineChars="200"/>
        <w:jc w:val="left"/>
        <w:rPr>
          <w:sz w:val="26"/>
          <w:szCs w:val="26"/>
        </w:rPr>
      </w:pPr>
      <w:r>
        <w:rPr>
          <w:rFonts w:hint="eastAsia" w:ascii="楷体" w:hAnsi="楷体" w:eastAsia="楷体" w:cs="楷体"/>
          <w:bCs/>
          <w:sz w:val="26"/>
          <w:szCs w:val="26"/>
        </w:rPr>
        <w:t>第四十一条</w:t>
      </w:r>
      <w:r>
        <w:rPr>
          <w:rFonts w:hint="eastAsia"/>
          <w:b/>
          <w:sz w:val="26"/>
          <w:szCs w:val="26"/>
        </w:rPr>
        <w:t xml:space="preserve"> </w:t>
      </w:r>
      <w:r>
        <w:rPr>
          <w:rFonts w:hint="eastAsia"/>
          <w:sz w:val="26"/>
          <w:szCs w:val="26"/>
        </w:rPr>
        <w:t>文物资源资产管理专项监督检查的主要内容包括：</w:t>
      </w:r>
    </w:p>
    <w:p>
      <w:pPr>
        <w:pStyle w:val="6"/>
        <w:spacing w:before="3" w:line="400" w:lineRule="exact"/>
        <w:ind w:firstLine="520" w:firstLineChars="200"/>
        <w:jc w:val="left"/>
        <w:rPr>
          <w:sz w:val="26"/>
          <w:szCs w:val="26"/>
        </w:rPr>
      </w:pPr>
      <w:r>
        <w:rPr>
          <w:rFonts w:hint="eastAsia"/>
          <w:sz w:val="26"/>
          <w:szCs w:val="26"/>
        </w:rPr>
        <w:t>（一）文物资源资产登记入账核算情况；</w:t>
      </w:r>
    </w:p>
    <w:p>
      <w:pPr>
        <w:pStyle w:val="6"/>
        <w:spacing w:before="3" w:line="400" w:lineRule="exact"/>
        <w:ind w:firstLine="520" w:firstLineChars="200"/>
        <w:jc w:val="left"/>
        <w:rPr>
          <w:sz w:val="26"/>
          <w:szCs w:val="26"/>
        </w:rPr>
      </w:pPr>
      <w:r>
        <w:rPr>
          <w:rFonts w:hint="eastAsia"/>
          <w:sz w:val="26"/>
          <w:szCs w:val="26"/>
        </w:rPr>
        <w:t>（二）文物资源资产保管保护和研究利用情况；</w:t>
      </w:r>
    </w:p>
    <w:p>
      <w:pPr>
        <w:pStyle w:val="6"/>
        <w:spacing w:before="3" w:line="400" w:lineRule="exact"/>
        <w:ind w:firstLine="520" w:firstLineChars="200"/>
        <w:jc w:val="left"/>
        <w:rPr>
          <w:sz w:val="26"/>
          <w:szCs w:val="26"/>
        </w:rPr>
      </w:pPr>
      <w:r>
        <w:rPr>
          <w:rFonts w:hint="eastAsia"/>
          <w:sz w:val="26"/>
          <w:szCs w:val="26"/>
        </w:rPr>
        <w:t>（三）文物资源资产拆除减损等情况；</w:t>
      </w:r>
    </w:p>
    <w:p>
      <w:pPr>
        <w:pStyle w:val="6"/>
        <w:spacing w:before="3" w:line="400" w:lineRule="exact"/>
        <w:ind w:firstLine="520" w:firstLineChars="200"/>
        <w:jc w:val="left"/>
        <w:rPr>
          <w:sz w:val="26"/>
          <w:szCs w:val="26"/>
        </w:rPr>
      </w:pPr>
      <w:r>
        <w:rPr>
          <w:rFonts w:hint="eastAsia"/>
          <w:sz w:val="26"/>
          <w:szCs w:val="26"/>
        </w:rPr>
        <w:t>（四）</w:t>
      </w:r>
      <w:r>
        <w:rPr>
          <w:rFonts w:hint="eastAsia"/>
          <w:w w:val="95"/>
          <w:sz w:val="26"/>
          <w:szCs w:val="26"/>
        </w:rPr>
        <w:t>文物资源资产收支管理情况；</w:t>
      </w:r>
    </w:p>
    <w:p>
      <w:pPr>
        <w:pStyle w:val="6"/>
        <w:spacing w:before="3" w:line="400" w:lineRule="exact"/>
        <w:ind w:firstLine="520" w:firstLineChars="200"/>
        <w:jc w:val="left"/>
        <w:rPr>
          <w:sz w:val="26"/>
          <w:szCs w:val="26"/>
        </w:rPr>
      </w:pPr>
      <w:r>
        <w:rPr>
          <w:rFonts w:hint="eastAsia"/>
          <w:sz w:val="26"/>
          <w:szCs w:val="26"/>
        </w:rPr>
        <w:t>（五）</w:t>
      </w:r>
      <w:r>
        <w:rPr>
          <w:rFonts w:hint="eastAsia"/>
          <w:w w:val="95"/>
          <w:sz w:val="26"/>
          <w:szCs w:val="26"/>
        </w:rPr>
        <w:t>文物资源资产安全管理情况；</w:t>
      </w:r>
    </w:p>
    <w:p>
      <w:pPr>
        <w:pStyle w:val="6"/>
        <w:spacing w:before="3" w:line="400" w:lineRule="exact"/>
        <w:ind w:firstLine="520" w:firstLineChars="200"/>
        <w:jc w:val="left"/>
        <w:rPr>
          <w:sz w:val="26"/>
          <w:szCs w:val="26"/>
        </w:rPr>
      </w:pPr>
      <w:r>
        <w:rPr>
          <w:rFonts w:hint="eastAsia"/>
          <w:sz w:val="26"/>
          <w:szCs w:val="26"/>
        </w:rPr>
        <w:t>（六）其他需要监督检查的情况。</w:t>
      </w:r>
    </w:p>
    <w:p>
      <w:pPr>
        <w:pStyle w:val="6"/>
        <w:spacing w:before="214" w:line="400" w:lineRule="exact"/>
        <w:ind w:right="315" w:firstLine="528" w:firstLineChars="200"/>
        <w:jc w:val="left"/>
        <w:rPr>
          <w:sz w:val="26"/>
          <w:szCs w:val="26"/>
        </w:rPr>
      </w:pPr>
      <w:r>
        <w:rPr>
          <w:rFonts w:hint="eastAsia" w:ascii="楷体" w:hAnsi="楷体" w:eastAsia="楷体" w:cs="楷体"/>
          <w:bCs/>
          <w:spacing w:val="2"/>
          <w:sz w:val="26"/>
          <w:szCs w:val="26"/>
        </w:rPr>
        <w:t>第四十二条</w:t>
      </w:r>
      <w:r>
        <w:rPr>
          <w:rFonts w:hint="eastAsia"/>
          <w:b/>
          <w:spacing w:val="2"/>
          <w:sz w:val="26"/>
          <w:szCs w:val="26"/>
        </w:rPr>
        <w:t xml:space="preserve"> </w:t>
      </w:r>
      <w:r>
        <w:rPr>
          <w:rFonts w:hint="eastAsia"/>
          <w:spacing w:val="4"/>
          <w:sz w:val="26"/>
          <w:szCs w:val="26"/>
        </w:rPr>
        <w:t>各级财政部门、文物行政部门、其他主管</w:t>
      </w:r>
      <w:r>
        <w:rPr>
          <w:rFonts w:hint="eastAsia"/>
          <w:spacing w:val="-1"/>
          <w:sz w:val="26"/>
          <w:szCs w:val="26"/>
        </w:rPr>
        <w:t>部门、管理收藏单位及其工作人员违反本办法规定，在文物</w:t>
      </w:r>
      <w:r>
        <w:rPr>
          <w:rFonts w:hint="eastAsia"/>
          <w:spacing w:val="-3"/>
          <w:sz w:val="26"/>
          <w:szCs w:val="26"/>
        </w:rPr>
        <w:t>资源资产监管工作中存在滥用职权、玩忽职守、徇私舞弊等</w:t>
      </w:r>
      <w:r>
        <w:rPr>
          <w:rFonts w:hint="eastAsia"/>
          <w:spacing w:val="-21"/>
          <w:sz w:val="26"/>
          <w:szCs w:val="26"/>
        </w:rPr>
        <w:t>违纪违法行为的，按照《中华人民共和国文物保护法》、《中</w:t>
      </w:r>
      <w:r>
        <w:rPr>
          <w:rFonts w:hint="eastAsia"/>
          <w:spacing w:val="-26"/>
          <w:w w:val="95"/>
          <w:sz w:val="26"/>
          <w:szCs w:val="26"/>
        </w:rPr>
        <w:t>华人民共和国公务员法》、《中华人民共和国监察法》、《中</w:t>
      </w:r>
      <w:r>
        <w:rPr>
          <w:rFonts w:hint="eastAsia"/>
          <w:sz w:val="26"/>
          <w:szCs w:val="26"/>
        </w:rPr>
        <w:t>华人民共和国会计法》、《财政违法行为处罚处分条例》等追究相应责任；构成犯罪的，依法追究刑事责任。</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附则</w:t>
      </w:r>
    </w:p>
    <w:p>
      <w:pPr>
        <w:spacing w:before="214" w:line="400" w:lineRule="exact"/>
        <w:ind w:left="120" w:right="317" w:firstLine="520" w:firstLineChars="200"/>
        <w:jc w:val="left"/>
        <w:rPr>
          <w:rFonts w:ascii="方正仿宋简体" w:hAnsi="方正仿宋简体" w:eastAsia="方正仿宋简体" w:cs="方正仿宋简体"/>
          <w:sz w:val="26"/>
          <w:szCs w:val="26"/>
        </w:rPr>
      </w:pPr>
      <w:r>
        <w:rPr>
          <w:rFonts w:hint="eastAsia" w:ascii="楷体" w:hAnsi="楷体" w:eastAsia="楷体" w:cs="楷体"/>
          <w:bCs/>
          <w:sz w:val="26"/>
          <w:szCs w:val="26"/>
        </w:rPr>
        <w:t>第四十三条</w:t>
      </w:r>
      <w:r>
        <w:rPr>
          <w:rFonts w:hint="eastAsia" w:ascii="方正仿宋简体" w:hAnsi="方正仿宋简体" w:eastAsia="方正仿宋简体" w:cs="方正仿宋简体"/>
          <w:b/>
          <w:sz w:val="26"/>
          <w:szCs w:val="26"/>
        </w:rPr>
        <w:t xml:space="preserve"> </w:t>
      </w:r>
      <w:r>
        <w:rPr>
          <w:rFonts w:hint="eastAsia" w:ascii="方正仿宋简体" w:hAnsi="方正仿宋简体" w:eastAsia="方正仿宋简体" w:cs="方正仿宋简体"/>
          <w:sz w:val="26"/>
          <w:szCs w:val="26"/>
        </w:rPr>
        <w:t>已归类为固定资产的文物，按照本办法规定执行。</w:t>
      </w:r>
    </w:p>
    <w:p>
      <w:pPr>
        <w:pStyle w:val="6"/>
        <w:spacing w:line="400" w:lineRule="exact"/>
        <w:ind w:right="317" w:firstLine="520" w:firstLineChars="200"/>
        <w:jc w:val="left"/>
        <w:rPr>
          <w:sz w:val="26"/>
          <w:szCs w:val="26"/>
        </w:rPr>
      </w:pPr>
      <w:r>
        <w:rPr>
          <w:rFonts w:hint="eastAsia" w:ascii="楷体" w:hAnsi="楷体" w:eastAsia="楷体" w:cs="楷体"/>
          <w:bCs/>
          <w:sz w:val="26"/>
          <w:szCs w:val="26"/>
        </w:rPr>
        <w:t>第四十四条</w:t>
      </w:r>
      <w:r>
        <w:rPr>
          <w:rFonts w:hint="eastAsia"/>
          <w:b/>
          <w:sz w:val="26"/>
          <w:szCs w:val="26"/>
        </w:rPr>
        <w:t xml:space="preserve"> </w:t>
      </w:r>
      <w:r>
        <w:rPr>
          <w:rFonts w:hint="eastAsia"/>
          <w:sz w:val="26"/>
          <w:szCs w:val="26"/>
        </w:rPr>
        <w:t>中国人民解放军和中国人民武装警察部队文物资源资产管理，依照中央军事委员会有关规定执行。</w:t>
      </w:r>
    </w:p>
    <w:p>
      <w:pPr>
        <w:pStyle w:val="6"/>
        <w:spacing w:line="400" w:lineRule="exact"/>
        <w:ind w:right="317" w:firstLine="528" w:firstLineChars="200"/>
        <w:jc w:val="left"/>
        <w:rPr>
          <w:sz w:val="26"/>
          <w:szCs w:val="26"/>
        </w:rPr>
      </w:pPr>
      <w:r>
        <w:rPr>
          <w:rFonts w:hint="eastAsia" w:ascii="楷体" w:hAnsi="楷体" w:eastAsia="楷体" w:cs="楷体"/>
          <w:bCs/>
          <w:spacing w:val="2"/>
          <w:sz w:val="26"/>
          <w:szCs w:val="26"/>
        </w:rPr>
        <w:t>第四十五条</w:t>
      </w:r>
      <w:r>
        <w:rPr>
          <w:rFonts w:hint="eastAsia"/>
          <w:b/>
          <w:spacing w:val="2"/>
          <w:sz w:val="26"/>
          <w:szCs w:val="26"/>
        </w:rPr>
        <w:t xml:space="preserve"> </w:t>
      </w:r>
      <w:r>
        <w:rPr>
          <w:rFonts w:hint="eastAsia"/>
          <w:spacing w:val="4"/>
          <w:sz w:val="26"/>
          <w:szCs w:val="26"/>
        </w:rPr>
        <w:t>国有企业、管理收藏国有文物的民间非营</w:t>
      </w:r>
      <w:r>
        <w:rPr>
          <w:rFonts w:hint="eastAsia"/>
          <w:spacing w:val="11"/>
          <w:w w:val="95"/>
          <w:sz w:val="26"/>
          <w:szCs w:val="26"/>
        </w:rPr>
        <w:t xml:space="preserve">利组织管理国有文物资源资产的活动，参照本办法规定执 </w:t>
      </w:r>
      <w:r>
        <w:rPr>
          <w:rFonts w:hint="eastAsia"/>
          <w:spacing w:val="11"/>
          <w:sz w:val="26"/>
          <w:szCs w:val="26"/>
        </w:rPr>
        <w:t>行。</w:t>
      </w:r>
    </w:p>
    <w:p>
      <w:pPr>
        <w:pStyle w:val="6"/>
        <w:spacing w:line="400" w:lineRule="exact"/>
        <w:ind w:right="317" w:firstLine="528" w:firstLineChars="200"/>
        <w:jc w:val="left"/>
        <w:rPr>
          <w:sz w:val="26"/>
          <w:szCs w:val="26"/>
        </w:rPr>
      </w:pPr>
      <w:r>
        <w:rPr>
          <w:rFonts w:hint="eastAsia" w:ascii="楷体" w:hAnsi="楷体" w:eastAsia="楷体" w:cs="楷体"/>
          <w:bCs/>
          <w:spacing w:val="2"/>
          <w:sz w:val="26"/>
          <w:szCs w:val="26"/>
        </w:rPr>
        <w:t>第四十六条</w:t>
      </w:r>
      <w:r>
        <w:rPr>
          <w:rFonts w:hint="eastAsia"/>
          <w:b/>
          <w:spacing w:val="2"/>
          <w:sz w:val="26"/>
          <w:szCs w:val="26"/>
        </w:rPr>
        <w:t xml:space="preserve"> </w:t>
      </w:r>
      <w:r>
        <w:rPr>
          <w:rFonts w:hint="eastAsia"/>
          <w:spacing w:val="4"/>
          <w:sz w:val="26"/>
          <w:szCs w:val="26"/>
        </w:rPr>
        <w:t>省级财政部门和文物行政部门，应当根据</w:t>
      </w:r>
      <w:r>
        <w:rPr>
          <w:rFonts w:hint="eastAsia"/>
          <w:spacing w:val="-1"/>
          <w:sz w:val="26"/>
          <w:szCs w:val="26"/>
        </w:rPr>
        <w:t>本办法，结合本地区文物资源资产管理实际情况，制定具体实施办法并报财政部、国家文物局备案。</w:t>
      </w:r>
    </w:p>
    <w:p>
      <w:pPr>
        <w:spacing w:before="2" w:line="400" w:lineRule="exact"/>
        <w:ind w:left="760" w:firstLine="520" w:firstLineChars="200"/>
        <w:jc w:val="left"/>
        <w:rPr>
          <w:rFonts w:ascii="方正仿宋简体" w:hAnsi="方正仿宋简体" w:eastAsia="方正仿宋简体" w:cs="方正仿宋简体"/>
          <w:sz w:val="26"/>
          <w:szCs w:val="26"/>
        </w:rPr>
      </w:pPr>
      <w:r>
        <w:rPr>
          <w:rFonts w:hint="eastAsia" w:ascii="楷体" w:hAnsi="楷体" w:eastAsia="楷体" w:cs="楷体"/>
          <w:bCs/>
          <w:sz w:val="26"/>
          <w:szCs w:val="26"/>
        </w:rPr>
        <w:t>第四十七条</w:t>
      </w:r>
      <w:r>
        <w:rPr>
          <w:rFonts w:hint="eastAsia" w:ascii="方正仿宋简体" w:hAnsi="方正仿宋简体" w:eastAsia="方正仿宋简体" w:cs="方正仿宋简体"/>
          <w:b/>
          <w:sz w:val="26"/>
          <w:szCs w:val="26"/>
        </w:rPr>
        <w:t xml:space="preserve"> </w:t>
      </w:r>
      <w:r>
        <w:rPr>
          <w:rFonts w:hint="eastAsia" w:ascii="方正仿宋简体" w:hAnsi="方正仿宋简体" w:eastAsia="方正仿宋简体" w:cs="方正仿宋简体"/>
          <w:sz w:val="26"/>
          <w:szCs w:val="26"/>
        </w:rPr>
        <w:t>本办法自印发之日起施行。</w:t>
      </w:r>
    </w:p>
    <w:p>
      <w:pPr>
        <w:pStyle w:val="6"/>
        <w:spacing w:before="1" w:line="400" w:lineRule="exact"/>
        <w:ind w:right="1599"/>
        <w:jc w:val="left"/>
        <w:rPr>
          <w:sz w:val="26"/>
          <w:szCs w:val="26"/>
        </w:rPr>
      </w:pPr>
      <w:r>
        <w:rPr>
          <w:rFonts w:hint="eastAsia"/>
          <w:sz w:val="26"/>
          <w:szCs w:val="26"/>
        </w:rPr>
        <w:t>附：1.不可移动文物资源资产信息卡参考样式</w:t>
      </w:r>
    </w:p>
    <w:p>
      <w:pPr>
        <w:pStyle w:val="6"/>
        <w:spacing w:before="1" w:line="400" w:lineRule="exact"/>
        <w:ind w:right="1599"/>
        <w:jc w:val="left"/>
        <w:rPr>
          <w:sz w:val="26"/>
          <w:szCs w:val="26"/>
        </w:rPr>
      </w:pPr>
      <w:r>
        <w:rPr>
          <w:rFonts w:hint="eastAsia"/>
          <w:sz w:val="26"/>
          <w:szCs w:val="26"/>
        </w:rPr>
        <w:t>2.可移动文物资源资产信息卡参考样式</w:t>
      </w:r>
    </w:p>
    <w:p>
      <w:pPr>
        <w:spacing w:line="400" w:lineRule="exact"/>
        <w:ind w:firstLine="520" w:firstLineChars="200"/>
        <w:jc w:val="left"/>
        <w:rPr>
          <w:rFonts w:ascii="方正仿宋简体" w:hAnsi="方正仿宋简体" w:eastAsia="方正仿宋简体" w:cs="方正仿宋简体"/>
          <w:sz w:val="26"/>
          <w:szCs w:val="26"/>
        </w:rPr>
        <w:sectPr>
          <w:footerReference r:id="rId4" w:type="default"/>
          <w:pgSz w:w="11910" w:h="16840"/>
          <w:pgMar w:top="1500" w:right="1480" w:bottom="1180" w:left="1680" w:header="0" w:footer="993" w:gutter="0"/>
          <w:pgNumType w:start="10"/>
          <w:cols w:space="720" w:num="1"/>
        </w:sectPr>
      </w:pPr>
    </w:p>
    <w:p>
      <w:pPr>
        <w:pStyle w:val="6"/>
        <w:spacing w:before="30" w:line="400" w:lineRule="exact"/>
        <w:rPr>
          <w:sz w:val="26"/>
          <w:szCs w:val="26"/>
        </w:rPr>
      </w:pPr>
      <w:r>
        <w:rPr>
          <w:rFonts w:hint="eastAsia"/>
          <w:sz w:val="26"/>
          <w:szCs w:val="26"/>
        </w:rPr>
        <w:t xml:space="preserve">附 1            </w:t>
      </w:r>
    </w:p>
    <w:p>
      <w:pPr>
        <w:pStyle w:val="2"/>
        <w:spacing w:line="400" w:lineRule="exact"/>
        <w:ind w:right="187"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不可移动文物资源资产信息卡参考样式</w:t>
      </w:r>
    </w:p>
    <w:p>
      <w:pPr>
        <w:pStyle w:val="6"/>
        <w:spacing w:before="30" w:line="400" w:lineRule="exact"/>
        <w:rPr>
          <w:b/>
          <w:sz w:val="26"/>
          <w:szCs w:val="26"/>
        </w:rPr>
      </w:pP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83"/>
        <w:gridCol w:w="1127"/>
        <w:gridCol w:w="992"/>
        <w:gridCol w:w="198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20" w:type="dxa"/>
            <w:gridSpan w:val="5"/>
          </w:tcPr>
          <w:p>
            <w:pPr>
              <w:pStyle w:val="25"/>
              <w:spacing w:before="41" w:line="34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卡片编号</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3"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分类代码</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资产名称</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文物级别</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文物类别</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1"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公布日期</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数量</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left="196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是否可计价</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计量单位</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1" w:line="340" w:lineRule="exact"/>
              <w:ind w:left="106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总建筑面积（平方米）</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占地面积（平方米）</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3"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具体地址</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现登记号</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文物来源</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藏品年代</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3" w:line="340" w:lineRule="exact"/>
              <w:ind w:left="142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建造（制造）年代</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文物简介</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520" w:type="dxa"/>
            <w:gridSpan w:val="5"/>
          </w:tcPr>
          <w:p>
            <w:pPr>
              <w:pStyle w:val="25"/>
              <w:spacing w:before="41" w:line="34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财务信息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账面价值（元）</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价值类型</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财务入账状态</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992" w:type="dxa"/>
            <w:vMerge w:val="restart"/>
          </w:tcPr>
          <w:p>
            <w:pPr>
              <w:pStyle w:val="25"/>
              <w:spacing w:before="12" w:line="340" w:lineRule="exact"/>
              <w:ind w:firstLine="520" w:firstLineChars="200"/>
              <w:jc w:val="left"/>
              <w:rPr>
                <w:rFonts w:ascii="方正仿宋简体" w:hAnsi="方正仿宋简体" w:eastAsia="方正仿宋简体" w:cs="方正仿宋简体"/>
                <w:b/>
                <w:sz w:val="26"/>
                <w:szCs w:val="26"/>
              </w:rPr>
            </w:pPr>
          </w:p>
          <w:p>
            <w:pPr>
              <w:pStyle w:val="25"/>
              <w:spacing w:line="340" w:lineRule="exact"/>
              <w:ind w:left="1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资金来源</w:t>
            </w:r>
          </w:p>
        </w:tc>
        <w:tc>
          <w:tcPr>
            <w:tcW w:w="1984" w:type="dxa"/>
          </w:tcPr>
          <w:p>
            <w:pPr>
              <w:pStyle w:val="25"/>
              <w:spacing w:before="41"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财政性资金（元）</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财务入账日期</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992" w:type="dxa"/>
            <w:vMerge w:val="continue"/>
            <w:tcBorders>
              <w:top w:val="nil"/>
            </w:tcBorders>
          </w:tcPr>
          <w:p>
            <w:pPr>
              <w:spacing w:line="340" w:lineRule="exact"/>
              <w:ind w:firstLine="520" w:firstLineChars="200"/>
              <w:jc w:val="left"/>
              <w:rPr>
                <w:rFonts w:ascii="方正仿宋简体" w:hAnsi="方正仿宋简体" w:eastAsia="方正仿宋简体" w:cs="方正仿宋简体"/>
                <w:sz w:val="26"/>
                <w:szCs w:val="26"/>
              </w:rPr>
            </w:pPr>
          </w:p>
        </w:tc>
        <w:tc>
          <w:tcPr>
            <w:tcW w:w="1984" w:type="dxa"/>
          </w:tcPr>
          <w:p>
            <w:pPr>
              <w:pStyle w:val="25"/>
              <w:spacing w:before="43"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非财政性资金（元）</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会计凭证号</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left="16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备查簿是否登记</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是否纳入企业年度决算</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1" w:line="340" w:lineRule="exact"/>
              <w:ind w:left="7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是否纳入行政事业资产报表</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计价说明</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left="178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入账会计科目</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20" w:type="dxa"/>
            <w:gridSpan w:val="5"/>
          </w:tcPr>
          <w:p>
            <w:pPr>
              <w:pStyle w:val="25"/>
              <w:spacing w:before="41" w:line="34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管理部门</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2"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使用单位</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管理人员</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before="41" w:line="340" w:lineRule="exact"/>
              <w:ind w:right="96"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使用状况</w:t>
            </w: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4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用途</w:t>
            </w:r>
          </w:p>
        </w:tc>
        <w:tc>
          <w:tcPr>
            <w:tcW w:w="1127" w:type="dxa"/>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2976" w:type="dxa"/>
            <w:gridSpan w:val="2"/>
          </w:tcPr>
          <w:p>
            <w:pPr>
              <w:pStyle w:val="25"/>
              <w:spacing w:line="340" w:lineRule="exact"/>
              <w:ind w:firstLine="520" w:firstLineChars="200"/>
              <w:jc w:val="left"/>
              <w:rPr>
                <w:rFonts w:ascii="方正仿宋简体" w:hAnsi="方正仿宋简体" w:eastAsia="方正仿宋简体" w:cs="方正仿宋简体"/>
                <w:sz w:val="26"/>
                <w:szCs w:val="26"/>
              </w:rPr>
            </w:pPr>
          </w:p>
        </w:tc>
        <w:tc>
          <w:tcPr>
            <w:tcW w:w="1134" w:type="dxa"/>
          </w:tcPr>
          <w:p>
            <w:pPr>
              <w:pStyle w:val="25"/>
              <w:spacing w:line="34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520" w:type="dxa"/>
            <w:gridSpan w:val="5"/>
          </w:tcPr>
          <w:p>
            <w:pPr>
              <w:pStyle w:val="25"/>
              <w:spacing w:before="5" w:line="340" w:lineRule="exact"/>
              <w:ind w:firstLine="520" w:firstLineChars="200"/>
              <w:jc w:val="left"/>
              <w:rPr>
                <w:rFonts w:ascii="方正仿宋简体" w:hAnsi="方正仿宋简体" w:eastAsia="方正仿宋简体" w:cs="方正仿宋简体"/>
                <w:b/>
                <w:sz w:val="26"/>
                <w:szCs w:val="26"/>
              </w:rPr>
            </w:pPr>
          </w:p>
          <w:p>
            <w:pPr>
              <w:pStyle w:val="25"/>
              <w:spacing w:line="340" w:lineRule="exact"/>
              <w:ind w:left="288"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备注</w:t>
            </w:r>
          </w:p>
        </w:tc>
      </w:tr>
    </w:tbl>
    <w:p>
      <w:pPr>
        <w:tabs>
          <w:tab w:val="left" w:pos="3482"/>
        </w:tabs>
        <w:spacing w:before="20" w:line="400" w:lineRule="exact"/>
        <w:ind w:left="120"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制单人：</w:t>
      </w:r>
      <w:r>
        <w:rPr>
          <w:rFonts w:hint="eastAsia" w:ascii="方正仿宋简体" w:hAnsi="方正仿宋简体" w:eastAsia="方正仿宋简体" w:cs="方正仿宋简体"/>
          <w:b/>
          <w:sz w:val="26"/>
          <w:szCs w:val="26"/>
        </w:rPr>
        <w:tab/>
      </w:r>
      <w:r>
        <w:rPr>
          <w:rFonts w:hint="eastAsia" w:ascii="方正仿宋简体" w:hAnsi="方正仿宋简体" w:eastAsia="方正仿宋简体" w:cs="方正仿宋简体"/>
          <w:b/>
          <w:sz w:val="26"/>
          <w:szCs w:val="26"/>
        </w:rPr>
        <w:t>制单时间：</w:t>
      </w:r>
    </w:p>
    <w:p>
      <w:pPr>
        <w:pStyle w:val="6"/>
        <w:spacing w:line="400" w:lineRule="exact"/>
        <w:ind w:firstLine="520" w:firstLineChars="200"/>
        <w:jc w:val="left"/>
        <w:rPr>
          <w:b/>
          <w:sz w:val="26"/>
          <w:szCs w:val="26"/>
        </w:rPr>
      </w:pPr>
    </w:p>
    <w:p>
      <w:pPr>
        <w:spacing w:before="155" w:line="400" w:lineRule="exact"/>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填写说明：</w:t>
      </w:r>
    </w:p>
    <w:p>
      <w:pPr>
        <w:spacing w:before="155"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1.分类代码是资产分类国标。</w:t>
      </w:r>
    </w:p>
    <w:p>
      <w:pPr>
        <w:spacing w:line="400" w:lineRule="exact"/>
        <w:ind w:right="315" w:firstLine="504"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pacing w:val="-4"/>
          <w:sz w:val="26"/>
          <w:szCs w:val="26"/>
        </w:rPr>
        <w:t>2.文物级别按照全国重点文物保护单位、省级文物保护单位、市县级文物保护单位、尚未核定公布为文物保护单位分情况选择填列。</w:t>
      </w:r>
    </w:p>
    <w:p>
      <w:pPr>
        <w:spacing w:line="400" w:lineRule="exact"/>
        <w:ind w:right="315" w:firstLine="492"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pacing w:val="-7"/>
          <w:sz w:val="26"/>
          <w:szCs w:val="26"/>
        </w:rPr>
        <w:t>3.文物类别分为古文化遗址、古墓葬、古建筑、石窟寺、石刻、壁画、近代现代重要史迹和代表性建筑等分情况选择填列。</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4.公布日期为各级政府公布文物保护单位的日期。</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5.按照是否可计价选择“是”或“否”。</w:t>
      </w:r>
    </w:p>
    <w:p>
      <w:pPr>
        <w:tabs>
          <w:tab w:val="left" w:pos="740"/>
        </w:tabs>
        <w:spacing w:before="42"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6.计量单位分为个、座、处等分情况选择填列。</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7.现登记号是指文物在现管理收藏单位的登记号。</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r>
        <w:rPr>
          <w:rFonts w:hint="eastAsia" w:ascii="方正仿宋简体" w:hAnsi="方正仿宋简体" w:eastAsia="方正仿宋简体" w:cs="方正仿宋简体"/>
          <w:spacing w:val="-7"/>
          <w:sz w:val="26"/>
          <w:szCs w:val="26"/>
        </w:rPr>
        <w:t>文物来源包括文物普查、考古调查、勘探和发掘、征集、购买、调拨、捐赠、依法置换、依法接收、指定保管等方式。</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9.账面价值是该文物入账价值。</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10.价值类型为历史成本、公允价值分情况选择填列。</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11.入账状态选择“是”或“否”。</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12.财政性资金、非财政性资金根据资金来源填写。</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13.入账会计科目是固定资产、文物文化资产。</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14.管理部门为管理文物所属单位的行政部门。</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15.使用单位为管理使用文物资源资产的各级各类行政事业单位。</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16.使用状态分为开放、未开放、修缮中等分情况选择填列。</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17.各单位还可在该卡片样式基础上自行增加管理需要的资产信息内容。</w:t>
      </w:r>
    </w:p>
    <w:p>
      <w:pPr>
        <w:spacing w:line="400" w:lineRule="exact"/>
        <w:ind w:firstLine="520" w:firstLineChars="200"/>
        <w:jc w:val="left"/>
        <w:rPr>
          <w:rFonts w:ascii="方正仿宋简体" w:hAnsi="方正仿宋简体" w:eastAsia="方正仿宋简体" w:cs="方正仿宋简体"/>
          <w:sz w:val="26"/>
          <w:szCs w:val="26"/>
        </w:rPr>
        <w:sectPr>
          <w:pgSz w:w="11910" w:h="16840"/>
          <w:pgMar w:top="1580" w:right="1480" w:bottom="1180" w:left="1680" w:header="0" w:footer="993" w:gutter="0"/>
          <w:cols w:space="720" w:num="1"/>
        </w:sectPr>
      </w:pPr>
    </w:p>
    <w:p>
      <w:pPr>
        <w:pStyle w:val="6"/>
        <w:spacing w:before="30" w:line="400" w:lineRule="exact"/>
        <w:ind w:firstLine="520" w:firstLineChars="200"/>
        <w:jc w:val="left"/>
        <w:rPr>
          <w:sz w:val="26"/>
          <w:szCs w:val="26"/>
        </w:rPr>
      </w:pPr>
      <w:r>
        <w:rPr>
          <w:rFonts w:hint="eastAsia"/>
          <w:sz w:val="26"/>
          <w:szCs w:val="26"/>
        </w:rPr>
        <w:t>附 2</w:t>
      </w:r>
    </w:p>
    <w:p>
      <w:pPr>
        <w:pStyle w:val="2"/>
        <w:spacing w:line="400" w:lineRule="exact"/>
        <w:ind w:right="187"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可移动文物资源资产信息卡参考样式</w:t>
      </w:r>
    </w:p>
    <w:p>
      <w:pPr>
        <w:pStyle w:val="6"/>
        <w:spacing w:before="10" w:line="400" w:lineRule="exact"/>
        <w:ind w:firstLine="520" w:firstLineChars="200"/>
        <w:jc w:val="left"/>
        <w:rPr>
          <w:b/>
          <w:sz w:val="26"/>
          <w:szCs w:val="26"/>
        </w:rPr>
      </w:pP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83"/>
        <w:gridCol w:w="1268"/>
        <w:gridCol w:w="993"/>
        <w:gridCol w:w="1684"/>
        <w:gridCol w:w="1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20" w:type="dxa"/>
            <w:gridSpan w:val="5"/>
          </w:tcPr>
          <w:p>
            <w:pPr>
              <w:pStyle w:val="25"/>
              <w:spacing w:before="41" w:line="32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卡片编号</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3"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分类代码</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资产名称</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2"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文物级别</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文物类别</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入藏日期</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数量</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2" w:line="320" w:lineRule="exact"/>
              <w:ind w:left="166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是否可计价</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计量单位</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left="112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是否属于馆藏文物</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现登记号</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文物来源</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283" w:type="dxa"/>
          </w:tcPr>
          <w:p>
            <w:pPr>
              <w:pStyle w:val="25"/>
              <w:spacing w:before="40"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藏品年代</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0" w:line="320" w:lineRule="exact"/>
              <w:ind w:left="112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建造（制造）年代</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83" w:type="dxa"/>
          </w:tcPr>
          <w:p>
            <w:pPr>
              <w:pStyle w:val="25"/>
              <w:spacing w:before="40"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文物简介</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0" w:line="320" w:lineRule="exact"/>
              <w:ind w:left="166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文物完整度</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20" w:type="dxa"/>
            <w:gridSpan w:val="5"/>
          </w:tcPr>
          <w:p>
            <w:pPr>
              <w:pStyle w:val="25"/>
              <w:spacing w:before="42" w:line="32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财务信息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账面价值（元）</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价值类型</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财务入账状态</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993" w:type="dxa"/>
            <w:vMerge w:val="restart"/>
          </w:tcPr>
          <w:p>
            <w:pPr>
              <w:pStyle w:val="25"/>
              <w:spacing w:line="320" w:lineRule="exact"/>
              <w:ind w:firstLine="520" w:firstLineChars="200"/>
              <w:jc w:val="left"/>
              <w:rPr>
                <w:rFonts w:ascii="方正仿宋简体" w:hAnsi="方正仿宋简体" w:eastAsia="方正仿宋简体" w:cs="方正仿宋简体"/>
                <w:b/>
                <w:sz w:val="26"/>
                <w:szCs w:val="26"/>
              </w:rPr>
            </w:pPr>
          </w:p>
          <w:p>
            <w:pPr>
              <w:pStyle w:val="25"/>
              <w:spacing w:before="1" w:line="320" w:lineRule="exact"/>
              <w:ind w:left="1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资金来源</w:t>
            </w:r>
          </w:p>
        </w:tc>
        <w:tc>
          <w:tcPr>
            <w:tcW w:w="1684" w:type="dxa"/>
          </w:tcPr>
          <w:p>
            <w:pPr>
              <w:pStyle w:val="25"/>
              <w:spacing w:before="42" w:line="320" w:lineRule="exact"/>
              <w:ind w:left="3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财政性资金（元）</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财务入账日期</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993" w:type="dxa"/>
            <w:vMerge w:val="continue"/>
            <w:tcBorders>
              <w:top w:val="nil"/>
            </w:tcBorders>
          </w:tcPr>
          <w:p>
            <w:pPr>
              <w:spacing w:line="320" w:lineRule="exact"/>
              <w:ind w:firstLine="520" w:firstLineChars="200"/>
              <w:jc w:val="left"/>
              <w:rPr>
                <w:rFonts w:ascii="方正仿宋简体" w:hAnsi="方正仿宋简体" w:eastAsia="方正仿宋简体" w:cs="方正仿宋简体"/>
                <w:sz w:val="26"/>
                <w:szCs w:val="26"/>
              </w:rPr>
            </w:pPr>
          </w:p>
        </w:tc>
        <w:tc>
          <w:tcPr>
            <w:tcW w:w="1684" w:type="dxa"/>
          </w:tcPr>
          <w:p>
            <w:pPr>
              <w:pStyle w:val="25"/>
              <w:spacing w:before="41" w:line="320" w:lineRule="exact"/>
              <w:ind w:left="100" w:firstLine="476"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pacing w:val="-11"/>
                <w:sz w:val="26"/>
                <w:szCs w:val="26"/>
              </w:rPr>
              <w:t>非财政性资金</w:t>
            </w:r>
            <w:r>
              <w:rPr>
                <w:rFonts w:hint="eastAsia" w:ascii="方正仿宋简体" w:hAnsi="方正仿宋简体" w:eastAsia="方正仿宋简体" w:cs="方正仿宋简体"/>
                <w:sz w:val="26"/>
                <w:szCs w:val="26"/>
              </w:rPr>
              <w:t>（元）</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会计凭证号</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3" w:line="320" w:lineRule="exact"/>
              <w:ind w:left="13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备查簿是否登记</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2"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是否纳入企业年度决算</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2" w:line="320" w:lineRule="exact"/>
              <w:ind w:left="40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是否纳入行政事业资产报表</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计价说明</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left="148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入账会计科目</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20" w:type="dxa"/>
            <w:gridSpan w:val="5"/>
          </w:tcPr>
          <w:p>
            <w:pPr>
              <w:pStyle w:val="25"/>
              <w:spacing w:before="42" w:line="320" w:lineRule="exact"/>
              <w:ind w:left="108"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管理部门</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1"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收藏单位</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3"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管理人员</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before="43" w:line="32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使用状况</w:t>
            </w: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283" w:type="dxa"/>
          </w:tcPr>
          <w:p>
            <w:pPr>
              <w:pStyle w:val="25"/>
              <w:spacing w:before="41" w:line="320" w:lineRule="exact"/>
              <w:ind w:right="95"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存放地点</w:t>
            </w:r>
          </w:p>
        </w:tc>
        <w:tc>
          <w:tcPr>
            <w:tcW w:w="1268" w:type="dxa"/>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2677" w:type="dxa"/>
            <w:gridSpan w:val="2"/>
          </w:tcPr>
          <w:p>
            <w:pPr>
              <w:pStyle w:val="25"/>
              <w:spacing w:line="320" w:lineRule="exact"/>
              <w:ind w:firstLine="520" w:firstLineChars="200"/>
              <w:jc w:val="left"/>
              <w:rPr>
                <w:rFonts w:ascii="方正仿宋简体" w:hAnsi="方正仿宋简体" w:eastAsia="方正仿宋简体" w:cs="方正仿宋简体"/>
                <w:sz w:val="26"/>
                <w:szCs w:val="26"/>
              </w:rPr>
            </w:pPr>
          </w:p>
        </w:tc>
        <w:tc>
          <w:tcPr>
            <w:tcW w:w="1292" w:type="dxa"/>
          </w:tcPr>
          <w:p>
            <w:pPr>
              <w:pStyle w:val="25"/>
              <w:spacing w:line="320" w:lineRule="exact"/>
              <w:ind w:firstLine="520" w:firstLineChars="200"/>
              <w:jc w:val="left"/>
              <w:rPr>
                <w:rFonts w:ascii="方正仿宋简体" w:hAnsi="方正仿宋简体" w:eastAsia="方正仿宋简体" w:cs="方正仿宋简体"/>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520" w:type="dxa"/>
            <w:gridSpan w:val="5"/>
          </w:tcPr>
          <w:p>
            <w:pPr>
              <w:pStyle w:val="25"/>
              <w:spacing w:before="6" w:line="320" w:lineRule="exact"/>
              <w:ind w:firstLine="520" w:firstLineChars="200"/>
              <w:jc w:val="left"/>
              <w:rPr>
                <w:rFonts w:ascii="方正仿宋简体" w:hAnsi="方正仿宋简体" w:eastAsia="方正仿宋简体" w:cs="方正仿宋简体"/>
                <w:b/>
                <w:sz w:val="26"/>
                <w:szCs w:val="26"/>
              </w:rPr>
            </w:pPr>
          </w:p>
          <w:p>
            <w:pPr>
              <w:pStyle w:val="25"/>
              <w:spacing w:line="320" w:lineRule="exact"/>
              <w:ind w:left="288"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备注</w:t>
            </w:r>
          </w:p>
        </w:tc>
      </w:tr>
    </w:tbl>
    <w:p>
      <w:pPr>
        <w:tabs>
          <w:tab w:val="left" w:pos="3376"/>
        </w:tabs>
        <w:spacing w:before="21" w:line="400" w:lineRule="exact"/>
        <w:ind w:left="120" w:firstLine="520" w:firstLineChars="200"/>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制单人：</w:t>
      </w:r>
      <w:r>
        <w:rPr>
          <w:rFonts w:hint="eastAsia" w:ascii="方正仿宋简体" w:hAnsi="方正仿宋简体" w:eastAsia="方正仿宋简体" w:cs="方正仿宋简体"/>
          <w:b/>
          <w:sz w:val="26"/>
          <w:szCs w:val="26"/>
        </w:rPr>
        <w:tab/>
      </w:r>
      <w:r>
        <w:rPr>
          <w:rFonts w:hint="eastAsia" w:ascii="方正仿宋简体" w:hAnsi="方正仿宋简体" w:eastAsia="方正仿宋简体" w:cs="方正仿宋简体"/>
          <w:b/>
          <w:sz w:val="26"/>
          <w:szCs w:val="26"/>
        </w:rPr>
        <w:t>制单时间：</w:t>
      </w:r>
    </w:p>
    <w:p>
      <w:pPr>
        <w:pStyle w:val="6"/>
        <w:spacing w:line="400" w:lineRule="exact"/>
        <w:ind w:firstLine="520" w:firstLineChars="200"/>
        <w:jc w:val="left"/>
        <w:rPr>
          <w:b/>
          <w:sz w:val="26"/>
          <w:szCs w:val="26"/>
        </w:rPr>
      </w:pPr>
    </w:p>
    <w:p>
      <w:pPr>
        <w:spacing w:before="155" w:line="400" w:lineRule="exact"/>
        <w:jc w:val="left"/>
        <w:rPr>
          <w:rFonts w:ascii="方正仿宋简体" w:hAnsi="方正仿宋简体" w:eastAsia="方正仿宋简体" w:cs="方正仿宋简体"/>
          <w:b/>
          <w:sz w:val="26"/>
          <w:szCs w:val="26"/>
        </w:rPr>
      </w:pPr>
      <w:r>
        <w:rPr>
          <w:rFonts w:hint="eastAsia" w:ascii="方正仿宋简体" w:hAnsi="方正仿宋简体" w:eastAsia="方正仿宋简体" w:cs="方正仿宋简体"/>
          <w:b/>
          <w:sz w:val="26"/>
          <w:szCs w:val="26"/>
        </w:rPr>
        <w:t>填写说明：</w:t>
      </w:r>
    </w:p>
    <w:p>
      <w:pPr>
        <w:spacing w:before="155" w:line="400" w:lineRule="exact"/>
        <w:jc w:val="left"/>
        <w:rPr>
          <w:rFonts w:ascii="方正仿宋简体" w:hAnsi="方正仿宋简体" w:eastAsia="方正仿宋简体" w:cs="方正仿宋简体"/>
          <w:b/>
          <w:sz w:val="26"/>
          <w:szCs w:val="26"/>
        </w:rPr>
      </w:pP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1.分类代码是资产分类国标。</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2.文物级别按照一级文物、二级文物、三级文物、一般文物分情况选择填列。</w:t>
      </w:r>
    </w:p>
    <w:p>
      <w:pPr>
        <w:tabs>
          <w:tab w:val="left" w:pos="740"/>
        </w:tabs>
        <w:spacing w:line="400" w:lineRule="exact"/>
        <w:ind w:right="319"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3.文物类别分为历史上各时代重要实物、艺术品、文献、手稿、图书资料、代表性实物</w:t>
      </w:r>
      <w:r>
        <w:rPr>
          <w:rFonts w:hint="eastAsia" w:ascii="方正仿宋简体" w:hAnsi="方正仿宋简体" w:eastAsia="方正仿宋简体" w:cs="方正仿宋简体"/>
          <w:spacing w:val="-5"/>
          <w:sz w:val="26"/>
          <w:szCs w:val="26"/>
        </w:rPr>
        <w:t>等分情况选择填列。</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4.入藏日期是文物被现收藏单位登记入库的日期。</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5.按照是否可计价选择“是”或“否”。</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6.计量单位分为件、件（套）等分情况选择填列。</w:t>
      </w:r>
    </w:p>
    <w:p>
      <w:pPr>
        <w:tabs>
          <w:tab w:val="left" w:pos="740"/>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7.现登记号是指文物在现管理收藏单位的登记号。</w:t>
      </w:r>
    </w:p>
    <w:p>
      <w:pPr>
        <w:tabs>
          <w:tab w:val="left" w:pos="740"/>
        </w:tabs>
        <w:spacing w:before="42" w:line="400" w:lineRule="exact"/>
        <w:ind w:right="312" w:firstLine="492"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pacing w:val="-7"/>
          <w:sz w:val="26"/>
          <w:szCs w:val="26"/>
        </w:rPr>
        <w:t>8.文物来源包括文物普查、考古调查、勘探和发掘、征集、购买、调拨、捐赠、依法置换、依法接收、指定保管等方式。</w:t>
      </w:r>
    </w:p>
    <w:p>
      <w:pPr>
        <w:tabs>
          <w:tab w:val="left" w:pos="740"/>
        </w:tabs>
        <w:spacing w:before="63"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9.账面价值是该文物入账价值。</w:t>
      </w:r>
    </w:p>
    <w:p>
      <w:pPr>
        <w:tabs>
          <w:tab w:val="left" w:pos="740"/>
        </w:tabs>
        <w:spacing w:before="63"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10.价值类型为历史成本、公允价值分情况选择填列。</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11.入账状态选择“是”或“否”。</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12.财政性资金、非财政性资金根据资金来源填写。</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13.入账会计科目是固定资产、文物文化资产。</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14.管理部门为管理文物所属单位的行政部门。</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15.收藏单位为保管收藏文物资源资产的各级各类行政事业单位。</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16.使用状态分为展览、借出、维修等分情况选择填列。</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17.各单位还可在该卡片样式基础上自行增加管理需要的资产信息内容。</w:t>
      </w:r>
    </w:p>
    <w:p>
      <w:pPr>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jc w:val="center"/>
        <w:rPr>
          <w:rFonts w:ascii="方正仿宋简体" w:hAnsi="方正仿宋简体" w:eastAsia="方正仿宋简体" w:cs="方正仿宋简体"/>
          <w:sz w:val="26"/>
          <w:szCs w:val="26"/>
        </w:rPr>
      </w:pPr>
    </w:p>
    <w:p>
      <w:pPr>
        <w:tabs>
          <w:tab w:val="left" w:pos="874"/>
        </w:tabs>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（二）事业资产配置管理</w:t>
      </w: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tabs>
          <w:tab w:val="left" w:pos="874"/>
        </w:tabs>
        <w:spacing w:line="400" w:lineRule="exact"/>
        <w:ind w:firstLine="520" w:firstLineChars="200"/>
        <w:jc w:val="left"/>
        <w:rPr>
          <w:rFonts w:ascii="方正仿宋简体" w:hAnsi="方正仿宋简体" w:eastAsia="方正仿宋简体" w:cs="方正仿宋简体"/>
          <w:sz w:val="26"/>
          <w:szCs w:val="26"/>
        </w:rPr>
      </w:pPr>
    </w:p>
    <w:p>
      <w:pPr>
        <w:keepNext/>
        <w:keepLines/>
        <w:spacing w:before="1660" w:after="320" w:line="400" w:lineRule="exact"/>
        <w:ind w:firstLine="640" w:firstLineChars="200"/>
        <w:jc w:val="center"/>
        <w:outlineLvl w:val="0"/>
        <w:rPr>
          <w:rFonts w:ascii="方正小标宋简体" w:hAnsi="方正仿宋简体" w:eastAsia="方正小标宋简体" w:cs="方正仿宋简体"/>
          <w:color w:val="000000"/>
          <w:sz w:val="32"/>
          <w:szCs w:val="32"/>
        </w:rPr>
      </w:pPr>
      <w:r>
        <w:rPr>
          <w:rFonts w:hint="eastAsia" w:ascii="方正小标宋简体" w:hAnsi="方正仿宋简体" w:eastAsia="方正小标宋简体" w:cs="方正仿宋简体"/>
          <w:color w:val="000000"/>
          <w:sz w:val="32"/>
          <w:szCs w:val="32"/>
        </w:rPr>
        <w:t>山东省财政厅文件</w:t>
      </w:r>
    </w:p>
    <w:p>
      <w:pPr>
        <w:pStyle w:val="23"/>
        <w:pBdr>
          <w:bottom w:val="single" w:color="auto" w:sz="4" w:space="0"/>
        </w:pBdr>
        <w:spacing w:after="200" w:line="400" w:lineRule="exact"/>
        <w:ind w:firstLine="520" w:firstLineChars="200"/>
        <w:jc w:val="center"/>
        <w:rPr>
          <w:rFonts w:ascii="方正仿宋简体" w:hAnsi="方正仿宋简体" w:eastAsia="方正仿宋简体" w:cs="方正仿宋简体"/>
        </w:rPr>
      </w:pPr>
      <w:r>
        <w:rPr>
          <w:rFonts w:hint="eastAsia" w:ascii="方正仿宋简体" w:hAnsi="方正仿宋简体" w:eastAsia="方正仿宋简体" w:cs="方正仿宋简体"/>
        </w:rPr>
        <w:t>鲁财资〔2019〕39号</w:t>
      </w:r>
    </w:p>
    <w:p>
      <w:pPr>
        <w:pStyle w:val="27"/>
        <w:keepNext/>
        <w:keepLines/>
        <w:spacing w:after="0" w:line="400" w:lineRule="exact"/>
        <w:ind w:firstLine="520" w:firstLineChars="200"/>
        <w:jc w:val="left"/>
        <w:rPr>
          <w:rFonts w:ascii="方正仿宋简体" w:hAnsi="方正仿宋简体" w:eastAsia="方正仿宋简体" w:cs="方正仿宋简体"/>
          <w:sz w:val="26"/>
          <w:szCs w:val="26"/>
        </w:rPr>
      </w:pPr>
    </w:p>
    <w:p>
      <w:pPr>
        <w:pStyle w:val="27"/>
        <w:keepNext/>
        <w:keepLines/>
        <w:spacing w:after="0" w:line="400" w:lineRule="exact"/>
        <w:ind w:firstLine="640" w:firstLineChars="200"/>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山东省财政厅关于印发《山东省省级行政事业单位通用资产配置标准》的通知</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省直各部门、单位：</w:t>
      </w:r>
    </w:p>
    <w:p>
      <w:pPr>
        <w:pStyle w:val="23"/>
        <w:spacing w:after="320"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现将《山东省省级行政事业单位通用资产配置标准》印发给你们，请遵照执行。执行中有何问题，请及时向我们反馈。</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fldChar w:fldCharType="begin"/>
      </w:r>
      <w:r>
        <w:rPr>
          <w:rFonts w:hint="eastAsia" w:ascii="方正仿宋简体" w:hAnsi="方正仿宋简体" w:eastAsia="方正仿宋简体" w:cs="方正仿宋简体"/>
          <w:kern w:val="0"/>
          <w:sz w:val="26"/>
          <w:szCs w:val="26"/>
          <w:lang w:val="zh-CN" w:bidi="zh-CN"/>
        </w:rPr>
        <w:instrText xml:space="preserve"> INCLUDEPICTURE "C:\\Users\\ADMINI~1\\AppData\\Local\\Temp\\ksohtml8228\\wps5.png" \* MERGEFORMATINET </w:instrText>
      </w:r>
      <w:r>
        <w:rPr>
          <w:rFonts w:hint="eastAsia" w:ascii="方正仿宋简体" w:hAnsi="方正仿宋简体" w:eastAsia="方正仿宋简体" w:cs="方正仿宋简体"/>
          <w:kern w:val="0"/>
          <w:sz w:val="26"/>
          <w:szCs w:val="26"/>
          <w:lang w:val="zh-CN" w:bidi="zh-CN"/>
        </w:rPr>
        <w:fldChar w:fldCharType="separate"/>
      </w:r>
      <w:r>
        <w:rPr>
          <w:rFonts w:hint="eastAsia" w:ascii="方正仿宋简体" w:hAnsi="方正仿宋简体" w:eastAsia="方正仿宋简体" w:cs="方正仿宋简体"/>
          <w:kern w:val="0"/>
          <w:sz w:val="26"/>
          <w:szCs w:val="26"/>
        </w:rPr>
        <w:drawing>
          <wp:anchor distT="0" distB="0" distL="114300" distR="114300" simplePos="0" relativeHeight="251666432" behindDoc="0" locked="0" layoutInCell="1" allowOverlap="1">
            <wp:simplePos x="0" y="0"/>
            <wp:positionH relativeFrom="column">
              <wp:align>right</wp:align>
            </wp:positionH>
            <wp:positionV relativeFrom="paragraph">
              <wp:posOffset>0</wp:posOffset>
            </wp:positionV>
            <wp:extent cx="1559560" cy="1549400"/>
            <wp:effectExtent l="0" t="0" r="2540" b="12700"/>
            <wp:wrapSquare wrapText="left"/>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r:link="rId14" cstate="print"/>
                    <a:stretch>
                      <a:fillRect/>
                    </a:stretch>
                  </pic:blipFill>
                  <pic:spPr>
                    <a:xfrm>
                      <a:off x="0" y="0"/>
                      <a:ext cx="1559560" cy="1549400"/>
                    </a:xfrm>
                    <a:prstGeom prst="rect">
                      <a:avLst/>
                    </a:prstGeom>
                    <a:noFill/>
                    <a:ln>
                      <a:noFill/>
                    </a:ln>
                  </pic:spPr>
                </pic:pic>
              </a:graphicData>
            </a:graphic>
          </wp:anchor>
        </w:drawing>
      </w:r>
      <w:r>
        <w:rPr>
          <w:rFonts w:hint="eastAsia" w:ascii="方正仿宋简体" w:hAnsi="方正仿宋简体" w:eastAsia="方正仿宋简体" w:cs="方正仿宋简体"/>
          <w:kern w:val="0"/>
          <w:sz w:val="26"/>
          <w:szCs w:val="26"/>
          <w:lang w:val="zh-CN" w:bidi="zh-CN"/>
        </w:rPr>
        <w:fldChar w:fldCharType="end"/>
      </w:r>
    </w:p>
    <w:p>
      <w:pPr>
        <w:pStyle w:val="27"/>
        <w:keepNext/>
        <w:keepLines/>
        <w:spacing w:after="540" w:line="400" w:lineRule="exact"/>
        <w:ind w:firstLine="520" w:firstLineChars="200"/>
        <w:rPr>
          <w:rFonts w:ascii="方正小标宋简体" w:hAnsi="方正仿宋简体" w:eastAsia="方正小标宋简体" w:cs="方正仿宋简体"/>
          <w:sz w:val="26"/>
          <w:szCs w:val="26"/>
        </w:rPr>
      </w:pPr>
      <w:r>
        <w:rPr>
          <w:rFonts w:hint="eastAsia" w:ascii="方正仿宋简体" w:hAnsi="方正仿宋简体" w:eastAsia="方正仿宋简体" w:cs="方正仿宋简体"/>
          <w:sz w:val="26"/>
          <w:szCs w:val="26"/>
        </w:rPr>
        <w:br w:type="page"/>
      </w:r>
      <w:r>
        <w:rPr>
          <w:rFonts w:hint="eastAsia" w:ascii="方正小标宋简体" w:hAnsi="方正仿宋简体" w:eastAsia="方正小标宋简体" w:cs="方正仿宋简体"/>
          <w:sz w:val="26"/>
          <w:szCs w:val="26"/>
        </w:rPr>
        <w:t>山东省省级行政事业单位通用资产配置标准</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第一条</w:t>
      </w:r>
      <w:r>
        <w:rPr>
          <w:rFonts w:hint="eastAsia" w:ascii="方正仿宋简体" w:hAnsi="方正仿宋简体" w:eastAsia="方正仿宋简体" w:cs="方正仿宋简体"/>
        </w:rPr>
        <w:t xml:space="preserve"> 为规范省级行政事业单位资产配置，健全预算标准体系和资产配置标准体系，保障省级部门、单位运行，根据《行政单位国有资产管理暂行办法》（财政部令第35号）、《事业单位国有资产管理暂行办法》（财政部令第36号）有关规定，结合我省实际，制定本标准。</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第二条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本标准适用于省级党的机关、人大机关、行政机关、 政协机关、监察机关、审判机关、检察机关、民主党派机关、社会团体以及参照公务员法管理、执行政府会计准则制度的事业单位（以下简称省级行政事业单位）。其他类别事业单位参照本标准执行，驻济以外的省级行政事业单位按属地原则执行当地标准。</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第三条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本标准所称通用办公设备、家具是指满足省级行 政事业单位办公基本需要的设备、家具，不含专业性、涉密性的办公设备、家具。对未列入本标准资产品目内的其他通用资产，应当按照与单位履行职能相适应的原则，从严控制。</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第四条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本标准是省级预算标准体系和资产配置标准体系的重要组成部分，是编制和审核资产配置预算、实施政府采购和资产调剂、处置等工作的基本依据。</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第五条 </w:t>
      </w:r>
      <w:r>
        <w:rPr>
          <w:rFonts w:hint="eastAsia" w:ascii="方正仿宋简体" w:hAnsi="方正仿宋简体" w:eastAsia="方正仿宋简体" w:cs="方正仿宋简体"/>
        </w:rPr>
        <w:t>本标准主要包括配置数量上限、价格上限、最低使用年限等内容。</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配置数量上限是单位购置通用办公设备、家具的最高数量标准。具体数量由单位结合机构设置、办公场所安排和编制内实有人数等情况，在上限内合理配置。</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价格上限是单位购置通用办公设备、家具的最高价格标准。具体价格由各单位按照节约原则合理配置。</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最低使用年限是通用办公设备、家具使用的低限标准。未达到最低使用年限的，除损毁且无法修复外，原则上不得更新。已达到规定使用年限仍可以使用的，应当继续使用。</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第六条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省级行政事业单位配置办公设备应当按照《中华人民共和国政府采购法》的规定，配置具有较强安全性、稳定性、兼容性，且能耗低、维修便利的设备，不得配置高端设备。</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省级行政事业单位配置办公家具应当充分考虑办公布局，符合简朴实用要求，不得配置豪华家具，不得使用名贵木材。</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第七条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本标准实行动态调整，根据经济社会发展、物价水平和有关政策调整等因素，适时予以调整。</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第八条</w:t>
      </w:r>
      <w:r>
        <w:rPr>
          <w:rFonts w:hint="eastAsia" w:ascii="方正仿宋简体" w:hAnsi="方正仿宋简体" w:eastAsia="方正仿宋简体" w:cs="方正仿宋简体"/>
        </w:rPr>
        <w:t>省级行政事业单位应当结合内设机构职能、工作需要和预算安排情况，在不超出本标准规定限额内，统筹合理安排本单位内设机构通用办公设备、家具的配置。</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第九条</w:t>
      </w:r>
      <w:r>
        <w:rPr>
          <w:rFonts w:hint="eastAsia" w:ascii="方正仿宋简体" w:hAnsi="方正仿宋简体" w:eastAsia="方正仿宋简体" w:cs="方正仿宋简体"/>
          <w:b/>
          <w:bCs/>
        </w:rPr>
        <w:t xml:space="preserve"> </w:t>
      </w:r>
      <w:r>
        <w:rPr>
          <w:rFonts w:hint="eastAsia" w:ascii="方正仿宋简体" w:hAnsi="方正仿宋简体" w:eastAsia="方正仿宋简体" w:cs="方正仿宋简体"/>
        </w:rPr>
        <w:t>本标准自印发之日起施行。《山东省省直行政单位 部分通用资产配置标准（2013版）》（鲁财办发〔2013〕7号）和《山东省省直事业单位部分通用资产配置标准（2014版）》（鲁财 办发〔2014〕20号）同时废止。</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附件：山东省省级行政事业单位通用资产配置标准表</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br w:type="page"/>
      </w: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kern w:val="0"/>
          <w:sz w:val="26"/>
          <w:szCs w:val="26"/>
        </w:rPr>
        <w:drawing>
          <wp:anchor distT="0" distB="0" distL="114300" distR="114300" simplePos="0" relativeHeight="251679744" behindDoc="1" locked="0" layoutInCell="1" allowOverlap="1">
            <wp:simplePos x="0" y="0"/>
            <wp:positionH relativeFrom="page">
              <wp:posOffset>38735</wp:posOffset>
            </wp:positionH>
            <wp:positionV relativeFrom="page">
              <wp:posOffset>-403860</wp:posOffset>
            </wp:positionV>
            <wp:extent cx="7395210" cy="9521825"/>
            <wp:effectExtent l="0" t="0" r="8890" b="3175"/>
            <wp:wrapNone/>
            <wp:docPr id="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4.jpeg"/>
                    <pic:cNvPicPr>
                      <a:picLocks noChangeAspect="1"/>
                    </pic:cNvPicPr>
                  </pic:nvPicPr>
                  <pic:blipFill>
                    <a:blip r:embed="rId15" cstate="print"/>
                    <a:srcRect b="9798"/>
                    <a:stretch>
                      <a:fillRect/>
                    </a:stretch>
                  </pic:blipFill>
                  <pic:spPr>
                    <a:xfrm>
                      <a:off x="0" y="0"/>
                      <a:ext cx="7395210" cy="9521825"/>
                    </a:xfrm>
                    <a:prstGeom prst="rect">
                      <a:avLst/>
                    </a:prstGeom>
                    <a:noFill/>
                    <a:ln>
                      <a:noFill/>
                    </a:ln>
                  </pic:spPr>
                </pic:pic>
              </a:graphicData>
            </a:graphic>
          </wp:anchor>
        </w:drawing>
      </w: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bookmarkStart w:id="1" w:name="3"/>
      <w:bookmarkEnd w:id="1"/>
      <w:bookmarkStart w:id="2" w:name="1"/>
      <w:bookmarkEnd w:id="2"/>
      <w:bookmarkStart w:id="3" w:name="2019山东省财政厅关于印发《山东省省级行政事业性国有资产管理绩效评价暂行办法》"/>
      <w:bookmarkEnd w:id="3"/>
      <w:bookmarkStart w:id="4" w:name="5"/>
      <w:bookmarkEnd w:id="4"/>
      <w:bookmarkStart w:id="5" w:name="4"/>
      <w:bookmarkEnd w:id="5"/>
      <w:bookmarkStart w:id="6" w:name="2"/>
      <w:bookmarkEnd w:id="6"/>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bookmarkStart w:id="7" w:name="6"/>
      <w:bookmarkEnd w:id="7"/>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rPr>
        <w:drawing>
          <wp:anchor distT="0" distB="0" distL="114300" distR="114300" simplePos="0" relativeHeight="251665408" behindDoc="1" locked="0" layoutInCell="1" allowOverlap="1">
            <wp:simplePos x="0" y="0"/>
            <wp:positionH relativeFrom="page">
              <wp:posOffset>121285</wp:posOffset>
            </wp:positionH>
            <wp:positionV relativeFrom="page">
              <wp:posOffset>0</wp:posOffset>
            </wp:positionV>
            <wp:extent cx="7434580" cy="9579610"/>
            <wp:effectExtent l="0" t="0" r="13970" b="2540"/>
            <wp:wrapNone/>
            <wp:docPr id="1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jpeg"/>
                    <pic:cNvPicPr>
                      <a:picLocks noChangeAspect="1"/>
                    </pic:cNvPicPr>
                  </pic:nvPicPr>
                  <pic:blipFill>
                    <a:blip r:embed="rId16" cstate="print"/>
                    <a:srcRect b="10202"/>
                    <a:stretch>
                      <a:fillRect/>
                    </a:stretch>
                  </pic:blipFill>
                  <pic:spPr>
                    <a:xfrm>
                      <a:off x="0" y="0"/>
                      <a:ext cx="7434580" cy="9579610"/>
                    </a:xfrm>
                    <a:prstGeom prst="rect">
                      <a:avLst/>
                    </a:prstGeom>
                    <a:noFill/>
                    <a:ln>
                      <a:noFill/>
                    </a:ln>
                  </pic:spPr>
                </pic:pic>
              </a:graphicData>
            </a:graphic>
          </wp:anchor>
        </w:drawing>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pStyle w:val="28"/>
        <w:pBdr>
          <w:bottom w:val="single" w:color="auto" w:sz="4" w:space="0"/>
        </w:pBdr>
        <w:spacing w:line="400" w:lineRule="exact"/>
        <w:ind w:firstLine="520" w:firstLineChars="200"/>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关于进一步加大授权力度 促进科技成果转化的通知</w:t>
      </w:r>
    </w:p>
    <w:p>
      <w:pPr>
        <w:pStyle w:val="12"/>
        <w:shd w:val="clear" w:color="auto" w:fill="FFFFFF"/>
        <w:spacing w:before="0" w:beforeAutospacing="0" w:after="240" w:afterAutospacing="0" w:line="400" w:lineRule="exact"/>
        <w:ind w:firstLine="520" w:firstLineChars="200"/>
        <w:jc w:val="center"/>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财资〔2019〕57号</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党中央有关部门，国务院各部委、各直属机构，全国人大常委会办公厅，全国政协办公厅，最高人民法院，最高人民检察院，各民主党派中央，有关人民团体，有关中央管理企业，各省、自治区、直辖市、计划单列市财政厅（局），新疆生产建设兵团财政局：</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为贯彻“放管服”改革要求，进一步加大国家设立的中央级研究开发机构、高等院校科技成果转化有关国有资产管理授权力度，落实创新驱动发展战略，促进科技成果转移转化，支持科技创新，现就有关事项通知如下：</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17"/>
          <w:rFonts w:hint="eastAsia" w:ascii="方正仿宋简体" w:hAnsi="方正仿宋简体" w:eastAsia="方正仿宋简体" w:cs="方正仿宋简体"/>
          <w:color w:val="333333"/>
          <w:sz w:val="26"/>
          <w:szCs w:val="26"/>
        </w:rPr>
        <w:t>一、加大授权力度，简化管理程序</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一）中央级研究开发机构、高等院校对持有的科技成果，可以自主决定转让、许可或者作价投资，除涉及国家秘密、国家安全及关键核心技术外，不需报主管部门和财政部审批或者备案。涉及国家秘密、国家安全及关键核心技术的科技成果转让、许可或者作价投资，授权中央级研究开发机构、高等院校的主管部门按照国家有关保密制度的规定进行审批，并于批复之日起15个工作日内将批复文件报财政部备案。</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二）授权中央级研究开发机构、高等院校的主管部门办理科技成果作价投资形成国有股权的转让、无偿划转或者对外投资等管理事项，不需报财政部审批或者备案。纳入国有资本投资运营公司集中统一监管的，公司要按照科技成果转化授权要求，简化科技成果作价投资形成的国有股权管理决策程序，积极支持科技成果转化和科技创新。</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（三）授权中央级研究开发机构、高等院校的主管部门办理科技成果作价投资成立企业的国有资产产权登记事项，不需报财政部办理登记。</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17"/>
          <w:rFonts w:hint="eastAsia" w:ascii="方正仿宋简体" w:hAnsi="方正仿宋简体" w:eastAsia="方正仿宋简体" w:cs="方正仿宋简体"/>
          <w:color w:val="333333"/>
          <w:sz w:val="26"/>
          <w:szCs w:val="26"/>
        </w:rPr>
        <w:t>二、优化评估管理，明确收益归属</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（四）中央级研究开发机构、高等院校将科技成果转让、许可或者作价投资，由单位自主决定是否进行资产评估；通过协议定价的，应当在本单位公示科技成果名称和拟交易价格。</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五）中央级研究开发机构、高等院校转化科技成果所获得的收入全部留归本单位，纳入单位预算，不上缴国库，主要用于对完成和转化职务科技成果做出重要贡献人员的奖励和报酬、科学技术研发与成果转化等相关工作。</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17"/>
          <w:rFonts w:hint="eastAsia" w:ascii="方正仿宋简体" w:hAnsi="方正仿宋简体" w:eastAsia="方正仿宋简体" w:cs="方正仿宋简体"/>
          <w:color w:val="333333"/>
          <w:sz w:val="26"/>
          <w:szCs w:val="26"/>
        </w:rPr>
        <w:t>三、落实主体责任，加强监督管理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六）中央级研究开发机构、高等院校要遵循科技成果转移转化规律，完善科技成果转化机制，加强科技成果管理，规范科技成果转化程序，建立健全科技成果转化重大事项领导班子集体决策制度，提高科技成果转化成效。对在科技成果转化工作过程中，通过串通作弊、暗箱操作等低价处置国有资产的，要依据国家有关规定进行处理。</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七）中央级研究开发机构、高等院校的主管部门要承担科技成果转化有关国有资产管理的主体责任，加强对科技成果作价投资形成国有股权的管理，健全完善管理制度，建立内控和风险防控机制，加强监管约束。同时，要加强对中央级研究开发机构、高等院校自主转化科技成果的监督，落实监管职责。</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（八）财政部门加强对科技成果转化有关国有资产管理的监督，督促改进发现的问题，做到放管结合，实现有效监管。</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Style w:val="17"/>
          <w:rFonts w:hint="eastAsia" w:ascii="方正仿宋简体" w:hAnsi="方正仿宋简体" w:eastAsia="方正仿宋简体" w:cs="方正仿宋简体"/>
          <w:color w:val="333333"/>
          <w:sz w:val="26"/>
          <w:szCs w:val="26"/>
        </w:rPr>
        <w:t>四、鼓励地方探索，支持改革创新</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（九）地方财政部门要将支持科技成果转移转化、推动科技创新作为重要职责，根据本通知精神，结合本地区经济发展、产业转型、科技创新等实际需要，制定具体规定，进一步完善科技成果国有资产管理制度。</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（十）鼓励地方开拓创新，探索符合科技成果国有资产特点的管理模式，充分发挥国有资产在科技成果转移转化中的支撑作用，支持地方促进科技成果转移转化。</w:t>
      </w:r>
    </w:p>
    <w:p>
      <w:pPr>
        <w:pStyle w:val="12"/>
        <w:shd w:val="clear" w:color="auto" w:fill="FFFFFF"/>
        <w:spacing w:before="0" w:beforeAutospacing="0" w:after="0" w:afterAutospacing="0" w:line="400" w:lineRule="exact"/>
        <w:ind w:firstLine="520" w:firstLineChars="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本通知自印发之日起施行。</w:t>
      </w:r>
    </w:p>
    <w:p>
      <w:pPr>
        <w:pStyle w:val="12"/>
        <w:shd w:val="clear" w:color="auto" w:fill="FFFFFF"/>
        <w:spacing w:before="0" w:beforeAutospacing="0" w:after="240" w:afterAutospacing="0" w:line="400" w:lineRule="exact"/>
        <w:ind w:firstLine="520" w:firstLineChars="200"/>
        <w:rPr>
          <w:rFonts w:ascii="方正仿宋简体" w:hAnsi="方正仿宋简体" w:eastAsia="方正仿宋简体" w:cs="方正仿宋简体"/>
          <w:color w:val="333333"/>
          <w:sz w:val="26"/>
          <w:szCs w:val="26"/>
        </w:rPr>
      </w:pPr>
    </w:p>
    <w:p>
      <w:pPr>
        <w:pStyle w:val="12"/>
        <w:shd w:val="clear" w:color="auto" w:fill="FFFFFF"/>
        <w:spacing w:before="0" w:beforeAutospacing="0" w:after="240" w:afterAutospacing="0" w:line="400" w:lineRule="exact"/>
        <w:ind w:firstLine="5720" w:firstLineChars="22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财政部</w:t>
      </w:r>
    </w:p>
    <w:p>
      <w:pPr>
        <w:pStyle w:val="12"/>
        <w:shd w:val="clear" w:color="auto" w:fill="FFFFFF"/>
        <w:spacing w:before="0" w:beforeAutospacing="0" w:after="240" w:afterAutospacing="0" w:line="400" w:lineRule="exact"/>
        <w:ind w:firstLine="4940" w:firstLineChars="1900"/>
        <w:rPr>
          <w:rFonts w:ascii="方正仿宋简体" w:hAnsi="方正仿宋简体" w:eastAsia="方正仿宋简体" w:cs="方正仿宋简体"/>
          <w:color w:val="333333"/>
          <w:sz w:val="26"/>
          <w:szCs w:val="26"/>
        </w:rPr>
      </w:pPr>
      <w:r>
        <w:rPr>
          <w:rFonts w:hint="eastAsia" w:ascii="方正仿宋简体" w:hAnsi="方正仿宋简体" w:eastAsia="方正仿宋简体" w:cs="方正仿宋简体"/>
          <w:color w:val="333333"/>
          <w:sz w:val="26"/>
          <w:szCs w:val="26"/>
        </w:rPr>
        <w:t>2019年9月23日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(三)事业资产有偿使用管理</w:t>
      </w:r>
    </w:p>
    <w:p>
      <w:pPr>
        <w:widowControl/>
        <w:spacing w:line="1500" w:lineRule="atLeast"/>
        <w:jc w:val="center"/>
        <w:rPr>
          <w:rFonts w:ascii="文星简大标宋" w:hAnsi="文星简大标宋" w:eastAsia="文星简大标宋" w:cs="文星简大标宋"/>
          <w:color w:val="FF0000"/>
          <w:kern w:val="0"/>
          <w:sz w:val="139"/>
          <w:szCs w:val="139"/>
        </w:rPr>
      </w:pPr>
    </w:p>
    <w:p>
      <w:pPr>
        <w:widowControl/>
        <w:spacing w:line="1500" w:lineRule="atLeast"/>
        <w:jc w:val="center"/>
        <w:rPr>
          <w:rFonts w:ascii="文星简大标宋" w:hAnsi="文星简大标宋" w:eastAsia="文星简大标宋" w:cs="文星简大标宋"/>
          <w:color w:val="FF0000"/>
          <w:kern w:val="0"/>
          <w:sz w:val="139"/>
          <w:szCs w:val="139"/>
        </w:rPr>
      </w:pPr>
    </w:p>
    <w:p>
      <w:pPr>
        <w:widowControl/>
        <w:spacing w:line="1500" w:lineRule="atLeast"/>
        <w:jc w:val="center"/>
        <w:rPr>
          <w:rFonts w:ascii="宋体" w:hAnsi="宋体" w:eastAsia="宋体" w:cs="宋体"/>
          <w:color w:val="000000"/>
          <w:sz w:val="18"/>
          <w:szCs w:val="18"/>
        </w:rPr>
      </w:pPr>
      <w:r>
        <w:rPr>
          <w:rFonts w:ascii="文星简大标宋" w:hAnsi="文星简大标宋" w:eastAsia="文星简大标宋" w:cs="文星简大标宋"/>
          <w:color w:val="FF0000"/>
          <w:kern w:val="0"/>
          <w:sz w:val="139"/>
          <w:szCs w:val="139"/>
        </w:rPr>
        <w:t>山东省财政厅文件</w:t>
      </w:r>
    </w:p>
    <w:p>
      <w:pPr>
        <w:jc w:val="center"/>
        <w:rPr>
          <w:rFonts w:ascii="黑体" w:hAnsi="黑体" w:eastAsia="黑体" w:cs="宋体"/>
          <w:color w:val="4A4A4A"/>
          <w:sz w:val="30"/>
          <w:szCs w:val="30"/>
        </w:rPr>
      </w:pPr>
      <w:r>
        <w:rPr>
          <w:rFonts w:hint="eastAsia" w:ascii="黑体" w:hAnsi="黑体" w:eastAsia="黑体" w:cs="宋体"/>
          <w:color w:val="4A4A4A"/>
          <w:sz w:val="30"/>
          <w:szCs w:val="30"/>
        </w:rPr>
        <w:t>鲁财资〔2010〕51号</w:t>
      </w:r>
    </w:p>
    <w:p>
      <w:pPr>
        <w:pStyle w:val="12"/>
        <w:spacing w:beforeAutospacing="0" w:after="0" w:afterAutospacing="0"/>
        <w:rPr>
          <w:color w:val="000000"/>
          <w:sz w:val="18"/>
          <w:szCs w:val="18"/>
        </w:rPr>
      </w:pPr>
    </w:p>
    <w:p>
      <w:pPr>
        <w:jc w:val="center"/>
        <w:rPr>
          <w:rFonts w:ascii="方正小标宋简体" w:eastAsia="方正小标宋简体"/>
          <w:b/>
          <w:sz w:val="32"/>
          <w:szCs w:val="21"/>
        </w:rPr>
      </w:pPr>
      <w:r>
        <w:rPr>
          <w:rFonts w:hint="eastAsia" w:ascii="方正小标宋简体" w:eastAsia="方正小标宋简体"/>
          <w:b/>
          <w:sz w:val="32"/>
          <w:szCs w:val="21"/>
        </w:rPr>
        <w:t>关于印发《山东省行政事业单位国有资产</w:t>
      </w:r>
    </w:p>
    <w:p>
      <w:pPr>
        <w:jc w:val="center"/>
        <w:rPr>
          <w:rFonts w:ascii="方正小标宋简体" w:eastAsia="方正小标宋简体"/>
          <w:b/>
          <w:sz w:val="32"/>
          <w:szCs w:val="21"/>
        </w:rPr>
      </w:pPr>
      <w:r>
        <w:rPr>
          <w:rFonts w:ascii="方正小标宋简体" w:eastAsia="方正小标宋简体"/>
          <w:b/>
          <w:sz w:val="32"/>
          <w:szCs w:val="21"/>
        </w:rPr>
        <w:t>收入收缴管理暂行办法》的通知</w:t>
      </w:r>
    </w:p>
    <w:p>
      <w:pPr>
        <w:widowControl/>
        <w:spacing w:line="600" w:lineRule="atLeast"/>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各市财政局、各省财政直接管理县（市）财政局，省直各部门</w:t>
      </w:r>
      <w:r>
        <w:rPr>
          <w:rFonts w:ascii="方正仿宋简体" w:hAnsi="方正仿宋简体" w:eastAsia="方正仿宋简体" w:cs="方正仿宋简体"/>
          <w:color w:val="333333"/>
          <w:kern w:val="0"/>
          <w:sz w:val="26"/>
          <w:szCs w:val="26"/>
        </w:rPr>
        <w:t>：</w:t>
      </w:r>
    </w:p>
    <w:p>
      <w:pPr>
        <w:widowControl/>
        <w:spacing w:line="600" w:lineRule="atLeas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现将《山东省行政事业单位国有资产收入收缴管理暂行办法》印发给你们，请遵照执行。执行中如有问题，请及时向我们反映。</w:t>
      </w:r>
    </w:p>
    <w:p>
      <w:pPr>
        <w:widowControl/>
        <w:spacing w:line="600" w:lineRule="atLeast"/>
        <w:ind w:firstLine="48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二○一○年八月九日</w:t>
      </w:r>
    </w:p>
    <w:p>
      <w:pPr>
        <w:pStyle w:val="12"/>
        <w:spacing w:beforeAutospacing="0" w:after="0" w:afterAutospacing="0"/>
        <w:rPr>
          <w:rFonts w:ascii="方正仿宋简体" w:hAnsi="方正仿宋简体" w:eastAsia="方正仿宋简体" w:cs="方正仿宋简体"/>
          <w:color w:val="333333"/>
          <w:sz w:val="26"/>
          <w:szCs w:val="26"/>
        </w:rPr>
      </w:pPr>
    </w:p>
    <w:p>
      <w:pPr>
        <w:jc w:val="center"/>
        <w:rPr>
          <w:rFonts w:ascii="方正小标宋简体" w:eastAsia="方正小标宋简体"/>
          <w:b/>
          <w:sz w:val="32"/>
          <w:szCs w:val="21"/>
        </w:rPr>
      </w:pPr>
    </w:p>
    <w:p>
      <w:pPr>
        <w:jc w:val="center"/>
        <w:rPr>
          <w:rFonts w:ascii="方正小标宋简体" w:eastAsia="方正小标宋简体"/>
          <w:b/>
          <w:sz w:val="32"/>
          <w:szCs w:val="21"/>
        </w:rPr>
      </w:pPr>
    </w:p>
    <w:p>
      <w:pPr>
        <w:jc w:val="center"/>
        <w:rPr>
          <w:rFonts w:ascii="方正小标宋简体" w:eastAsia="方正小标宋简体"/>
          <w:b/>
          <w:sz w:val="32"/>
          <w:szCs w:val="21"/>
        </w:rPr>
      </w:pPr>
    </w:p>
    <w:p>
      <w:pPr>
        <w:spacing w:line="400" w:lineRule="exact"/>
        <w:jc w:val="center"/>
        <w:rPr>
          <w:rFonts w:ascii="方正小标宋简体" w:eastAsia="方正小标宋简体"/>
          <w:b/>
          <w:sz w:val="26"/>
          <w:szCs w:val="26"/>
        </w:rPr>
      </w:pPr>
      <w:r>
        <w:rPr>
          <w:rFonts w:ascii="方正小标宋简体" w:eastAsia="方正小标宋简体"/>
          <w:b/>
          <w:sz w:val="26"/>
          <w:szCs w:val="26"/>
        </w:rPr>
        <w:t>山东省行政事业单位国有资产</w:t>
      </w:r>
    </w:p>
    <w:p>
      <w:pPr>
        <w:spacing w:line="400" w:lineRule="exact"/>
        <w:jc w:val="center"/>
        <w:rPr>
          <w:rFonts w:ascii="方正小标宋简体" w:eastAsia="方正小标宋简体"/>
          <w:b/>
          <w:sz w:val="26"/>
          <w:szCs w:val="26"/>
        </w:rPr>
      </w:pPr>
      <w:r>
        <w:rPr>
          <w:rFonts w:ascii="方正小标宋简体" w:eastAsia="方正小标宋简体"/>
          <w:b/>
          <w:sz w:val="26"/>
          <w:szCs w:val="26"/>
        </w:rPr>
        <w:t>收入收缴管理暂行办法</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第一条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为了加强行政事业单位国有资产收入（以下简称国有资产收入）收缴管理，维护国有资产权益，保障财政收入及时足额收缴入库，根据《行政单位国有资产管理暂行办法》（财政部令第35号）、《事业单位国有资产管理暂行办法》（财政部令第36号）等国家和省有关规定，结合我省实际，制定本办法。</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第二条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本办法适用于执行行政和事业单位财务会计制度的我省各级各类行政事业单位、社会团体和组织（统称行政事业单位。其中：执行行政单位财务会计制度的，简称行政单位；执行事业单位财务会计制度的，简称事业单位）。</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第三条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国有资产收入包括：</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一）资产处置收入。指行政事业单位按照有关规定将国有资产（股权）出售、出让、转让、置换、变卖等取得的收入，包括国有资产有偿转让收入（含股权转让收入）、报废报损资产残值变价收入、拆迁补偿收入、置换差价收入、保险理赔收入以及处置国有资产取得的其他收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（二）对外投资收益。指事业单位按照有关规定将其占有的国有资产对外投资，取得的被投资经济实体分配的股利、红利、利润等。</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（三）资产租赁收益。指行政事业单位按照有关规定，将其占有的国有资产对外租赁所取得的收益。</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（四）对外担保收入。指事业单位按照有关规定，作为第三方以本单位占有的国有资产对外提供担保取得的收入。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（五）利用国有资产取得的其他收入。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第四条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国有资产收入属于政府非税收入，全额上缴同级财政国库，纳入财政预算管理。</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第五条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各级财政部门是国有资产收入收缴的主管机关，负责国有资产收入的收缴管理和监督检查。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取得国有资产收入的行政事业单位负责办理国有资产收入的具体缴库手续。</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财政部门直接办理的国有资产处置事项，国有资产收入由财政部门直接办理具体缴库手续。</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第六条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行政事业单位取得的国有资产收入，应当按规定及时办理缴库手续，任何单位和个人不得滞留、坐支、截留、隐瞒、挪用。</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 xml:space="preserve">第七条 </w:t>
      </w:r>
      <w:r>
        <w:rPr>
          <w:rFonts w:ascii="方正仿宋简体" w:hAnsi="方正仿宋简体" w:eastAsia="方正仿宋简体" w:cs="方正仿宋简体"/>
          <w:color w:val="333333"/>
          <w:kern w:val="0"/>
          <w:sz w:val="26"/>
          <w:szCs w:val="26"/>
        </w:rPr>
        <w:t>行政事业单位上缴国有资产收入，应当向同级财政部门申请执收项目编码，按省财政厅统一规定，使用“山东省非税收入缴款书”，通过“山东省非税收入征收管理系统”上缴同级财政国库。</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第八条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行政事业单位收取国有资产收入，应当向对方开具合法有效的财政票据。</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第九条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行政事业单位应当建立健全国有资产收入收缴辅助账簿，逐一记录国有资产收入收取和缴库情况，以备财政、审计等部门的监督检查。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第十条</w:t>
      </w:r>
      <w:r>
        <w:rPr>
          <w:rFonts w:ascii="方正仿宋简体" w:hAnsi="方正仿宋简体" w:eastAsia="方正仿宋简体" w:cs="方正仿宋简体"/>
          <w:color w:val="333333"/>
          <w:kern w:val="0"/>
          <w:sz w:val="26"/>
          <w:szCs w:val="26"/>
        </w:rPr>
        <w:t>各级财政部门建立国有资产收入收缴月（季）报表制度。省级行政事业单位于每月终了后5个工作日内、各市财政部门于每季度终了后10个工作日内，将当期和累计国有资产收入收取和缴库情况，如实填报“山东省行政事业国有资产收入收缴月（季）报表”（见附件），通过“山东省行政事业资产管理信息系统”上报省财政厅。</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第十一条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各级财政部门对行政事业单位国有资产收入收缴情况实行定期检查制度，省财政厅驻有关市财政检查办事处按照统一安排，对辖区内省级行政事业单位国有资产收入收缴情况进行监督检查。</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第十二条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违反本办法规定的，按照《财政违法行为处罚处分条例》（国务院令第427号）规定进行处理。情节严重的，依据法律法规的有关规定，追究行政事业单位及相关责任人员的责任；构成犯罪的，移送司法机关依法追究刑事责任。</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ascii="方正仿宋简体" w:hAnsi="方正仿宋简体" w:eastAsia="方正仿宋简体" w:cs="方正仿宋简体"/>
          <w:color w:val="333333"/>
          <w:kern w:val="0"/>
          <w:sz w:val="26"/>
          <w:szCs w:val="26"/>
        </w:rPr>
        <w:t>坐支、截留、隐瞒、挪用国有资产收入的，除按上述规定处罚外，财政部门相应扣减其年度经费预算。</w:t>
      </w:r>
    </w:p>
    <w:p>
      <w:pPr>
        <w:widowControl/>
        <w:spacing w:line="400" w:lineRule="exact"/>
        <w:ind w:firstLine="63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第十三条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行政事业单位占有的公有住房按房改政策出售取得的收入，按国家有关规定执行，不执行本办法。</w:t>
      </w:r>
    </w:p>
    <w:p>
      <w:pPr>
        <w:widowControl/>
        <w:spacing w:line="400" w:lineRule="exact"/>
        <w:ind w:firstLine="63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第十四条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执行企业财务会计规范的事业单位，其国有资产收入管理，由财政部门按照企业国有资产监督管理的有关规定进行监管，不执行本办法。</w:t>
      </w:r>
    </w:p>
    <w:p>
      <w:pPr>
        <w:widowControl/>
        <w:spacing w:line="400" w:lineRule="exact"/>
        <w:ind w:firstLine="645"/>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第十五条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本办法由省财政厅负责解释。各级财政部门、省级行政事业单位主管部门可以依据本办法规定，制定本地区、本部门的具体实施办法，报省财政厅备案。</w:t>
      </w:r>
    </w:p>
    <w:p>
      <w:pPr>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楷体" w:hAnsi="楷体" w:eastAsia="楷体" w:cs="楷体"/>
          <w:color w:val="333333"/>
          <w:kern w:val="0"/>
          <w:sz w:val="26"/>
          <w:szCs w:val="26"/>
        </w:rPr>
        <w:t>第十六条</w:t>
      </w:r>
      <w:r>
        <w:rPr>
          <w:rFonts w:hint="eastAsia" w:ascii="方正仿宋简体" w:hAnsi="方正仿宋简体" w:eastAsia="方正仿宋简体" w:cs="方正仿宋简体"/>
          <w:color w:val="333333"/>
          <w:kern w:val="0"/>
          <w:sz w:val="26"/>
          <w:szCs w:val="26"/>
        </w:rPr>
        <w:t xml:space="preserve"> </w:t>
      </w:r>
      <w:r>
        <w:rPr>
          <w:rFonts w:ascii="方正仿宋简体" w:hAnsi="方正仿宋简体" w:eastAsia="方正仿宋简体" w:cs="方正仿宋简体"/>
          <w:color w:val="333333"/>
          <w:kern w:val="0"/>
          <w:sz w:val="26"/>
          <w:szCs w:val="26"/>
        </w:rPr>
        <w:t>本办法自印发之日起施行。此前有关国有资产收入管理规定与本办法相抵触的，以本办法为准。</w:t>
      </w: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jc w:val="center"/>
        <w:rPr>
          <w:rFonts w:ascii="方正小标宋简体" w:hAnsi="方正仿宋简体" w:eastAsia="方正小标宋简体" w:cs="方正仿宋简体"/>
          <w:color w:val="333333"/>
          <w:kern w:val="0"/>
          <w:sz w:val="40"/>
          <w:szCs w:val="40"/>
        </w:rPr>
      </w:pPr>
      <w:r>
        <w:rPr>
          <w:rFonts w:hint="eastAsia" w:ascii="方正小标宋简体" w:hAnsi="方正仿宋简体" w:eastAsia="方正小标宋简体" w:cs="方正仿宋简体"/>
          <w:color w:val="333333"/>
          <w:kern w:val="0"/>
          <w:sz w:val="40"/>
          <w:szCs w:val="40"/>
        </w:rPr>
        <w:t>(四)事业资产处置管理</w:t>
      </w:r>
    </w:p>
    <w:p>
      <w:pPr>
        <w:jc w:val="center"/>
        <w:rPr>
          <w:rFonts w:ascii="方正小标宋简体" w:hAnsi="方正仿宋简体" w:eastAsia="方正小标宋简体" w:cs="方正仿宋简体"/>
          <w:color w:val="333333"/>
          <w:kern w:val="0"/>
          <w:sz w:val="40"/>
          <w:szCs w:val="40"/>
        </w:rPr>
      </w:pPr>
    </w:p>
    <w:p>
      <w:pPr>
        <w:pStyle w:val="29"/>
        <w:spacing w:after="0" w:line="400" w:lineRule="exact"/>
        <w:ind w:right="658" w:firstLine="640" w:firstLineChars="200"/>
        <w:jc w:val="left"/>
        <w:rPr>
          <w:rFonts w:ascii="方正小标宋简体" w:hAnsi="方正仿宋简体" w:eastAsia="方正小标宋简体" w:cs="方正仿宋简体"/>
          <w:color w:val="333333"/>
          <w:sz w:val="32"/>
          <w:szCs w:val="32"/>
        </w:rPr>
      </w:pPr>
      <w:r>
        <w:rPr>
          <w:rFonts w:hint="eastAsia" w:ascii="方正小标宋简体" w:hAnsi="方正仿宋简体" w:eastAsia="方正小标宋简体" w:cs="方正仿宋简体"/>
          <w:color w:val="333333"/>
          <w:sz w:val="32"/>
          <w:szCs w:val="32"/>
        </w:rPr>
        <w:t>山东省机关事务管理局</w:t>
      </w:r>
    </w:p>
    <w:p>
      <w:pPr>
        <w:pStyle w:val="29"/>
        <w:spacing w:after="0" w:line="400" w:lineRule="exact"/>
        <w:ind w:right="658" w:firstLine="640" w:firstLineChars="200"/>
        <w:jc w:val="left"/>
        <w:rPr>
          <w:rFonts w:ascii="方正小标宋简体" w:hAnsi="方正仿宋简体" w:eastAsia="方正小标宋简体" w:cs="方正仿宋简体"/>
          <w:color w:val="333333"/>
          <w:sz w:val="32"/>
          <w:szCs w:val="32"/>
        </w:rPr>
      </w:pPr>
      <w:r>
        <w:rPr>
          <w:rFonts w:hint="eastAsia" w:ascii="方正小标宋简体" w:hAnsi="方正仿宋简体" w:eastAsia="方正小标宋简体" w:cs="方正仿宋简体"/>
          <w:color w:val="333333"/>
          <w:sz w:val="32"/>
          <w:szCs w:val="32"/>
        </w:rPr>
        <w:t>山东省商务厅</w:t>
      </w:r>
    </w:p>
    <w:p>
      <w:pPr>
        <w:pStyle w:val="29"/>
        <w:spacing w:after="0" w:line="400" w:lineRule="exact"/>
        <w:ind w:right="658" w:firstLine="640" w:firstLineChars="200"/>
        <w:jc w:val="left"/>
        <w:rPr>
          <w:rFonts w:ascii="方正小标宋简体" w:hAnsi="方正仿宋简体" w:eastAsia="方正小标宋简体" w:cs="方正仿宋简体"/>
          <w:color w:val="333333"/>
          <w:sz w:val="32"/>
          <w:szCs w:val="32"/>
        </w:rPr>
      </w:pPr>
      <w:r>
        <w:rPr>
          <w:rFonts w:hint="eastAsia" w:ascii="方正小标宋简体" w:hAnsi="方正仿宋简体" w:eastAsia="方正小标宋简体" w:cs="方正仿宋简体"/>
          <w:color w:val="333333"/>
          <w:sz w:val="32"/>
          <w:szCs w:val="32"/>
        </w:rPr>
        <w:t>山东省财政厅文件</w:t>
      </w:r>
    </w:p>
    <w:p>
      <w:pPr>
        <w:pStyle w:val="29"/>
        <w:spacing w:after="0" w:line="400" w:lineRule="exact"/>
        <w:ind w:right="658" w:firstLine="640" w:firstLineChars="200"/>
        <w:jc w:val="left"/>
        <w:rPr>
          <w:rFonts w:ascii="方正小标宋简体" w:hAnsi="方正仿宋简体" w:eastAsia="方正小标宋简体" w:cs="方正仿宋简体"/>
          <w:color w:val="333333"/>
          <w:sz w:val="32"/>
          <w:szCs w:val="32"/>
        </w:rPr>
      </w:pPr>
      <w:r>
        <w:rPr>
          <w:rFonts w:hint="eastAsia" w:ascii="方正小标宋简体" w:hAnsi="方正仿宋简体" w:eastAsia="方正小标宋简体" w:cs="方正仿宋简体"/>
          <w:color w:val="333333"/>
          <w:sz w:val="32"/>
          <w:szCs w:val="32"/>
        </w:rPr>
        <w:t>山东省国家保密局</w:t>
      </w:r>
    </w:p>
    <w:p>
      <w:pPr>
        <w:pStyle w:val="29"/>
        <w:spacing w:after="0" w:line="400" w:lineRule="exact"/>
        <w:ind w:right="658" w:firstLine="640" w:firstLineChars="200"/>
        <w:jc w:val="left"/>
        <w:rPr>
          <w:rFonts w:ascii="方正小标宋简体" w:hAnsi="方正仿宋简体" w:eastAsia="方正小标宋简体" w:cs="方正仿宋简体"/>
          <w:color w:val="333333"/>
          <w:sz w:val="32"/>
          <w:szCs w:val="32"/>
        </w:rPr>
      </w:pPr>
      <w:r>
        <w:rPr>
          <w:rFonts w:hint="eastAsia" w:ascii="方正小标宋简体" w:hAnsi="方正仿宋简体" w:eastAsia="方正小标宋简体" w:cs="方正仿宋简体"/>
          <w:color w:val="333333"/>
          <w:sz w:val="32"/>
          <w:szCs w:val="32"/>
        </w:rPr>
        <w:t>山东省人民政府节约能源办公室</w:t>
      </w:r>
    </w:p>
    <w:p>
      <w:pPr>
        <w:autoSpaceDE w:val="0"/>
        <w:autoSpaceDN w:val="0"/>
        <w:spacing w:line="400" w:lineRule="exact"/>
        <w:ind w:firstLine="520" w:firstLineChars="200"/>
        <w:jc w:val="center"/>
        <w:rPr>
          <w:rFonts w:ascii="方正仿宋简体" w:hAnsi="方正仿宋简体" w:eastAsia="方正仿宋简体" w:cs="方正仿宋简体"/>
          <w:color w:val="333333"/>
          <w:kern w:val="0"/>
          <w:sz w:val="26"/>
          <w:szCs w:val="26"/>
          <w:lang w:val="zh-CN"/>
        </w:rPr>
      </w:pPr>
      <w:r>
        <w:rPr>
          <w:rFonts w:hint="eastAsia" w:ascii="方正仿宋简体" w:hAnsi="方正仿宋简体" w:eastAsia="方正仿宋简体" w:cs="方正仿宋简体"/>
          <w:color w:val="333333"/>
          <w:kern w:val="0"/>
          <w:sz w:val="26"/>
          <w:szCs w:val="26"/>
          <w:lang w:val="zh-CN"/>
        </w:rPr>
        <w:t>鲁事管办发〔2016〕95号</w:t>
      </w:r>
    </w:p>
    <w:p>
      <w:pPr>
        <w:autoSpaceDE w:val="0"/>
        <w:autoSpaceDN w:val="0"/>
        <w:spacing w:line="400" w:lineRule="exact"/>
        <w:ind w:firstLine="520" w:firstLineChars="200"/>
        <w:jc w:val="center"/>
        <w:rPr>
          <w:rFonts w:ascii="方正仿宋简体" w:hAnsi="方正仿宋简体" w:eastAsia="方正仿宋简体" w:cs="方正仿宋简体"/>
          <w:color w:val="333333"/>
          <w:kern w:val="0"/>
          <w:sz w:val="26"/>
          <w:szCs w:val="26"/>
          <w:lang w:val="zh-CN"/>
        </w:rPr>
      </w:pPr>
    </w:p>
    <w:p>
      <w:pPr>
        <w:autoSpaceDE w:val="0"/>
        <w:autoSpaceDN w:val="0"/>
        <w:spacing w:line="400" w:lineRule="exact"/>
        <w:jc w:val="center"/>
        <w:rPr>
          <w:rFonts w:ascii="方正小标宋简体" w:hAnsi="方正仿宋简体" w:eastAsia="方正小标宋简体" w:cs="方正仿宋简体"/>
          <w:color w:val="333333"/>
          <w:kern w:val="0"/>
          <w:sz w:val="26"/>
          <w:szCs w:val="26"/>
          <w:lang w:val="zh-CN"/>
        </w:rPr>
      </w:pPr>
      <w:r>
        <w:rPr>
          <w:rFonts w:hint="eastAsia" w:ascii="方正小标宋简体" w:hAnsi="方正仿宋简体" w:eastAsia="方正小标宋简体" w:cs="方正仿宋简体"/>
          <w:color w:val="333333"/>
          <w:kern w:val="0"/>
          <w:sz w:val="26"/>
          <w:szCs w:val="26"/>
          <w:lang w:val="zh-CN"/>
        </w:rPr>
        <w:t>关于调整省直公共机构废旧商品备案回收企业的通知</w:t>
      </w:r>
    </w:p>
    <w:p>
      <w:pPr>
        <w:autoSpaceDE w:val="0"/>
        <w:autoSpaceDN w:val="0"/>
        <w:spacing w:line="400" w:lineRule="exact"/>
        <w:jc w:val="center"/>
        <w:rPr>
          <w:rFonts w:ascii="方正小标宋简体" w:hAnsi="方正仿宋简体" w:eastAsia="方正小标宋简体" w:cs="方正仿宋简体"/>
          <w:color w:val="333333"/>
          <w:kern w:val="0"/>
          <w:sz w:val="26"/>
          <w:szCs w:val="26"/>
          <w:lang w:val="zh-CN"/>
        </w:rPr>
      </w:pPr>
    </w:p>
    <w:p>
      <w:pPr>
        <w:pStyle w:val="23"/>
        <w:spacing w:line="400" w:lineRule="exact"/>
        <w:ind w:firstLine="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省直各部门、各单位：</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2012年，为贯彻落实国管局、商务部《关于加强公共机构</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废旧商品回收利用工作的通知》（国管节能〔2012〕91号）精神，省机关事务局、省商务厅、省财政厅、省保密局、省节能办 联合印发了《关于建立省直公共机构废旧商品回收体系的通知》（事管发〔2012〕58号），率先在省直单位启动了公共机构废旧商品回收工作，并确定了4家备案回收企业；同时指导各市出台了政策文件，进行了工作安排部署，基本构建起了覆盖全省的公共机构废旧商品回收体系。</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近日，经对4家省直公共机构废旧商品备案回收企业考察调 研发现，山东新天地静脉产业园管理有限公司因企业自身原因，无法进行正常运行，目前“产业园”处于封闭停产状态，已不适合作为备案回收企业。位于烟台市的鑫广绿环再生资源股份有限公司，具备回收、拆解、处置危险废弃物、废弃电器电子产品等废旧商品的资质，是目前我省处理能力较强、规模较大的回收企业。为确保省直公共机构废旧商品回收工作有序开展，经研究决定：</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（一）取消山东新天地静脉产业园管理有限公司的省直公共机构废旧商品备案回收企业资格；</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（二）增补鑫广绿环再生资源股份有限公司为省直公共机构废旧商品备案回收企业。</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请省直各部门、各单位按照本通知精神和《关于建立省直公共机构废旧商品回收体系的通知》（事管发〔2012〕58号）工作要求，进一步加强组织协调，强化宣传教育，做好与备案回收企 业对接、签订回收协议等有关工作，推进省直公共机构废旧商品 回收工作深入开展。</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附件：省直公共机构废旧商品备案回收企业调整后名单</w:t>
      </w:r>
    </w:p>
    <w:p>
      <w:pPr>
        <w:pStyle w:val="23"/>
        <w:spacing w:line="400" w:lineRule="exact"/>
        <w:ind w:firstLine="520" w:firstLineChars="200"/>
        <w:rPr>
          <w:rFonts w:ascii="方正仿宋简体" w:hAnsi="方正仿宋简体" w:eastAsia="方正仿宋简体" w:cs="方正仿宋简体"/>
          <w:color w:val="333333"/>
        </w:rPr>
      </w:pP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附件</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省直公共机构废旧商品</w:t>
      </w:r>
      <w:r>
        <w:rPr>
          <w:rFonts w:hint="eastAsia" w:ascii="方正仿宋简体" w:hAnsi="方正仿宋简体" w:eastAsia="方正仿宋简体" w:cs="方正仿宋简体"/>
          <w:color w:val="333333"/>
        </w:rPr>
        <w:br w:type="textWrapping"/>
      </w:r>
      <w:r>
        <w:rPr>
          <w:rFonts w:hint="eastAsia" w:ascii="方正仿宋简体" w:hAnsi="方正仿宋简体" w:eastAsia="方正仿宋简体" w:cs="方正仿宋简体"/>
          <w:color w:val="333333"/>
        </w:rPr>
        <w:t>备案回收企业调整后名单</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1、山东中绿资源再生有限公司</w:t>
      </w:r>
    </w:p>
    <w:p>
      <w:pPr>
        <w:pStyle w:val="23"/>
        <w:spacing w:line="400" w:lineRule="exact"/>
        <w:ind w:left="1080"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联系人：任国政</w:t>
      </w:r>
      <w:r>
        <w:rPr>
          <w:rFonts w:hint="eastAsia" w:ascii="方正仿宋简体" w:hAnsi="方正仿宋简体" w:eastAsia="方正仿宋简体" w:cs="方正仿宋简体"/>
          <w:color w:val="333333"/>
        </w:rPr>
        <w:tab/>
      </w:r>
      <w:r>
        <w:rPr>
          <w:rFonts w:hint="eastAsia" w:ascii="方正仿宋简体" w:hAnsi="方正仿宋简体" w:eastAsia="方正仿宋简体" w:cs="方正仿宋简体"/>
          <w:color w:val="333333"/>
        </w:rPr>
        <w:t>联系电话：18553101727</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2、鑫广绿环再生资源股份有限公司</w:t>
      </w:r>
    </w:p>
    <w:p>
      <w:pPr>
        <w:pStyle w:val="23"/>
        <w:spacing w:line="400" w:lineRule="exact"/>
        <w:ind w:left="1080"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联系人：张艳艳</w:t>
      </w:r>
      <w:r>
        <w:rPr>
          <w:rFonts w:hint="eastAsia" w:ascii="方正仿宋简体" w:hAnsi="方正仿宋简体" w:eastAsia="方正仿宋简体" w:cs="方正仿宋简体"/>
          <w:color w:val="333333"/>
        </w:rPr>
        <w:tab/>
      </w:r>
      <w:r>
        <w:rPr>
          <w:rFonts w:hint="eastAsia" w:ascii="方正仿宋简体" w:hAnsi="方正仿宋简体" w:eastAsia="方正仿宋简体" w:cs="方正仿宋简体"/>
          <w:color w:val="333333"/>
        </w:rPr>
        <w:t>联系电话：18905450998</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3、山东省华嘉资源综合利用有限公司</w:t>
      </w:r>
    </w:p>
    <w:p>
      <w:pPr>
        <w:pStyle w:val="23"/>
        <w:spacing w:line="400" w:lineRule="exact"/>
        <w:ind w:left="1080"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联系人：葛继伟</w:t>
      </w:r>
      <w:r>
        <w:rPr>
          <w:rFonts w:hint="eastAsia" w:ascii="方正仿宋简体" w:hAnsi="方正仿宋简体" w:eastAsia="方正仿宋简体" w:cs="方正仿宋简体"/>
          <w:color w:val="333333"/>
        </w:rPr>
        <w:tab/>
      </w:r>
      <w:r>
        <w:rPr>
          <w:rFonts w:hint="eastAsia" w:ascii="方正仿宋简体" w:hAnsi="方正仿宋简体" w:eastAsia="方正仿宋简体" w:cs="方正仿宋简体"/>
          <w:color w:val="333333"/>
        </w:rPr>
        <w:t>联系电话：13075309666</w:t>
      </w:r>
    </w:p>
    <w:p>
      <w:pPr>
        <w:pStyle w:val="23"/>
        <w:spacing w:line="400" w:lineRule="exact"/>
        <w:ind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4、富美科技集团有限公司</w:t>
      </w:r>
    </w:p>
    <w:p>
      <w:pPr>
        <w:pStyle w:val="23"/>
        <w:spacing w:line="400" w:lineRule="exact"/>
        <w:ind w:left="1080" w:firstLine="520" w:firstLineChars="200"/>
        <w:rPr>
          <w:rFonts w:ascii="方正仿宋简体" w:hAnsi="方正仿宋简体" w:eastAsia="方正仿宋简体" w:cs="方正仿宋简体"/>
          <w:color w:val="333333"/>
        </w:rPr>
      </w:pPr>
      <w:r>
        <w:rPr>
          <w:rFonts w:hint="eastAsia" w:ascii="方正仿宋简体" w:hAnsi="方正仿宋简体" w:eastAsia="方正仿宋简体" w:cs="方正仿宋简体"/>
          <w:color w:val="333333"/>
        </w:rPr>
        <w:t>联系人：姜 鹏</w:t>
      </w:r>
      <w:r>
        <w:rPr>
          <w:rFonts w:hint="eastAsia" w:ascii="方正仿宋简体" w:hAnsi="方正仿宋简体" w:eastAsia="方正仿宋简体" w:cs="方正仿宋简体"/>
          <w:color w:val="333333"/>
        </w:rPr>
        <w:tab/>
      </w:r>
      <w:r>
        <w:rPr>
          <w:rFonts w:hint="eastAsia" w:ascii="方正仿宋简体" w:hAnsi="方正仿宋简体" w:eastAsia="方正仿宋简体" w:cs="方正仿宋简体"/>
          <w:color w:val="333333"/>
        </w:rPr>
        <w:t>联系电话：18866836566</w:t>
      </w:r>
    </w:p>
    <w:p>
      <w:pPr>
        <w:pStyle w:val="23"/>
        <w:spacing w:line="400" w:lineRule="exact"/>
        <w:ind w:left="1080" w:firstLine="520" w:firstLineChars="200"/>
        <w:rPr>
          <w:rFonts w:ascii="方正仿宋简体" w:hAnsi="方正仿宋简体" w:eastAsia="方正仿宋简体" w:cs="方正仿宋简体"/>
          <w:color w:val="333333"/>
        </w:rPr>
      </w:pPr>
    </w:p>
    <w:p>
      <w:pPr>
        <w:pStyle w:val="23"/>
        <w:spacing w:line="400" w:lineRule="exact"/>
        <w:ind w:left="1080" w:firstLine="520" w:firstLineChars="200"/>
        <w:rPr>
          <w:rFonts w:ascii="方正仿宋简体" w:hAnsi="方正仿宋简体" w:eastAsia="方正仿宋简体" w:cs="方正仿宋简体"/>
          <w:color w:val="333333"/>
        </w:rPr>
      </w:pPr>
    </w:p>
    <w:p>
      <w:pPr>
        <w:autoSpaceDE w:val="0"/>
        <w:autoSpaceDN w:val="0"/>
        <w:spacing w:line="400" w:lineRule="exact"/>
        <w:ind w:firstLine="2470" w:firstLineChars="950"/>
        <w:jc w:val="left"/>
        <w:rPr>
          <w:rFonts w:ascii="方正仿宋简体" w:hAnsi="方正仿宋简体" w:eastAsia="方正仿宋简体" w:cs="方正仿宋简体"/>
          <w:color w:val="333333"/>
          <w:kern w:val="0"/>
          <w:sz w:val="26"/>
          <w:szCs w:val="26"/>
          <w:lang w:val="zh-CN"/>
        </w:rPr>
      </w:pPr>
      <w:r>
        <w:rPr>
          <w:rFonts w:hint="eastAsia" w:ascii="方正仿宋简体" w:hAnsi="方正仿宋简体" w:eastAsia="方正仿宋简体" w:cs="方正仿宋简体"/>
          <w:color w:val="333333"/>
          <w:kern w:val="0"/>
          <w:sz w:val="26"/>
          <w:szCs w:val="26"/>
          <w:lang w:val="zh-CN"/>
        </w:rPr>
        <w:t>山东省机关事务管理局办公室2016年12月15日印发</w:t>
      </w:r>
    </w:p>
    <w:p>
      <w:pPr>
        <w:spacing w:line="400" w:lineRule="exact"/>
        <w:ind w:firstLine="520" w:firstLineChars="200"/>
        <w:jc w:val="left"/>
        <w:rPr>
          <w:rFonts w:ascii="方正仿宋简体" w:hAnsi="方正仿宋简体" w:eastAsia="方正仿宋简体" w:cs="方正仿宋简体"/>
          <w:color w:val="333333"/>
          <w:kern w:val="0"/>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400" w:lineRule="exact"/>
        <w:jc w:val="center"/>
        <w:rPr>
          <w:rFonts w:ascii="方正仿宋简体" w:hAnsi="方正仿宋简体" w:eastAsia="方正仿宋简体" w:cs="方正仿宋简体"/>
          <w:b/>
          <w:bCs/>
          <w:sz w:val="26"/>
          <w:szCs w:val="26"/>
        </w:rPr>
      </w:pPr>
    </w:p>
    <w:p>
      <w:pPr>
        <w:spacing w:line="600" w:lineRule="exact"/>
        <w:rPr>
          <w:sz w:val="32"/>
        </w:rPr>
      </w:pPr>
    </w:p>
    <w:p>
      <w:pPr>
        <w:spacing w:line="1500" w:lineRule="exact"/>
        <w:jc w:val="center"/>
        <w:rPr>
          <w:rFonts w:eastAsia="文星简大标宋"/>
          <w:color w:val="FF0000"/>
          <w:w w:val="66"/>
          <w:sz w:val="140"/>
        </w:rPr>
      </w:pPr>
      <w:r>
        <w:rPr>
          <w:rFonts w:hint="eastAsia" w:eastAsia="文星简大标宋"/>
          <w:color w:val="FF0000"/>
          <w:w w:val="66"/>
          <w:sz w:val="140"/>
        </w:rPr>
        <w:t>山东省财政厅文件</w:t>
      </w:r>
    </w:p>
    <w:p>
      <w:pPr>
        <w:spacing w:line="600" w:lineRule="exact"/>
        <w:jc w:val="center"/>
        <w:rPr>
          <w:sz w:val="32"/>
        </w:rPr>
      </w:pPr>
    </w:p>
    <w:p>
      <w:pPr>
        <w:spacing w:line="600" w:lineRule="exact"/>
        <w:jc w:val="center"/>
        <w:rPr>
          <w:rFonts w:eastAsia="仿宋_GB2312"/>
          <w:sz w:val="32"/>
        </w:rPr>
      </w:pPr>
    </w:p>
    <w:p>
      <w:pPr>
        <w:spacing w:line="600" w:lineRule="exact"/>
        <w:jc w:val="center"/>
        <w:rPr>
          <w:rFonts w:eastAsia="仿宋_GB2312"/>
          <w:sz w:val="32"/>
        </w:rPr>
      </w:pPr>
    </w:p>
    <w:p>
      <w:pPr>
        <w:spacing w:line="600" w:lineRule="exact"/>
        <w:jc w:val="center"/>
        <w:rPr>
          <w:rFonts w:ascii="仿宋_GB2312" w:hAnsi="宋体" w:eastAsia="仿宋_GB2312"/>
          <w:color w:val="000000"/>
          <w:sz w:val="32"/>
        </w:rPr>
      </w:pPr>
      <w:r>
        <w:rPr>
          <w:rFonts w:hint="eastAsia" w:ascii="仿宋_GB2312" w:hAnsi="宋体" w:eastAsia="仿宋_GB2312"/>
          <w:color w:val="000000"/>
          <w:sz w:val="32"/>
        </w:rPr>
        <w:t>鲁财资〔</w:t>
      </w:r>
      <w:r>
        <w:rPr>
          <w:rFonts w:ascii="仿宋_GB2312" w:hAnsi="宋体" w:eastAsia="仿宋_GB2312"/>
          <w:color w:val="000000"/>
          <w:sz w:val="32"/>
        </w:rPr>
        <w:t>2011〕</w:t>
      </w:r>
      <w:r>
        <w:rPr>
          <w:rFonts w:hint="eastAsia" w:ascii="仿宋_GB2312" w:hAnsi="宋体" w:eastAsia="仿宋_GB2312"/>
          <w:color w:val="000000"/>
          <w:sz w:val="32"/>
        </w:rPr>
        <w:t>78</w:t>
      </w:r>
      <w:r>
        <w:rPr>
          <w:rFonts w:ascii="仿宋_GB2312" w:hAnsi="宋体" w:eastAsia="仿宋_GB2312"/>
          <w:color w:val="000000"/>
          <w:sz w:val="32"/>
        </w:rPr>
        <w:t>号</w:t>
      </w:r>
    </w:p>
    <w:p>
      <w:pPr>
        <w:spacing w:line="600" w:lineRule="exact"/>
        <w:jc w:val="center"/>
        <w:rPr>
          <w:rFonts w:ascii="宋体" w:hAnsi="宋体" w:eastAsia="仿宋_GB2312"/>
          <w:sz w:val="32"/>
        </w:rPr>
      </w:pPr>
      <w:r>
        <w:rPr>
          <w:rFonts w:ascii="宋体" w:hAnsi="宋体" w:eastAsia="仿宋_GB2312"/>
          <w:sz w:val="20"/>
        </w:rPr>
        <w:pict>
          <v:line id="_x0000_s1046" o:spid="_x0000_s1046" o:spt="20" style="position:absolute;left:0pt;margin-left:5.25pt;margin-top:7.8pt;height:0pt;width:446.25pt;z-index:251686912;mso-width-relative:page;mso-height-relative:page;" stroked="t" coordsize="21600,21600">
            <v:path arrowok="t"/>
            <v:fill focussize="0,0"/>
            <v:stroke weight="2.25pt" color="#FF0000"/>
            <v:imagedata o:title=""/>
            <o:lock v:ext="edit"/>
          </v:line>
        </w:pict>
      </w:r>
    </w:p>
    <w:p>
      <w:pPr>
        <w:spacing w:line="600" w:lineRule="exact"/>
        <w:jc w:val="center"/>
        <w:rPr>
          <w:rFonts w:ascii="宋体" w:hAnsi="宋体"/>
          <w:sz w:val="32"/>
        </w:rPr>
      </w:pPr>
    </w:p>
    <w:p>
      <w:pPr>
        <w:spacing w:line="600" w:lineRule="exact"/>
        <w:jc w:val="center"/>
        <w:rPr>
          <w:rFonts w:ascii="文星简大标宋" w:eastAsia="文星简大标宋"/>
          <w:bCs/>
          <w:color w:val="000000"/>
          <w:sz w:val="44"/>
        </w:rPr>
      </w:pPr>
      <w:r>
        <w:rPr>
          <w:rFonts w:hint="eastAsia" w:ascii="文星简大标宋" w:eastAsia="文星简大标宋"/>
          <w:bCs/>
          <w:color w:val="000000"/>
          <w:sz w:val="44"/>
        </w:rPr>
        <w:t>关于印发《山东省省级行政事业国有资产</w:t>
      </w:r>
    </w:p>
    <w:p>
      <w:pPr>
        <w:spacing w:line="600" w:lineRule="exact"/>
        <w:jc w:val="center"/>
        <w:rPr>
          <w:rFonts w:ascii="文星简大标宋" w:hAnsi="宋体" w:eastAsia="文星简大标宋"/>
          <w:color w:val="000000"/>
          <w:sz w:val="44"/>
        </w:rPr>
      </w:pPr>
      <w:r>
        <w:rPr>
          <w:rFonts w:hint="eastAsia" w:ascii="文星简大标宋" w:eastAsia="文星简大标宋"/>
          <w:bCs/>
          <w:color w:val="000000"/>
          <w:sz w:val="44"/>
        </w:rPr>
        <w:t>处置管理办法》的通知</w:t>
      </w:r>
    </w:p>
    <w:p>
      <w:pPr>
        <w:spacing w:line="600" w:lineRule="exact"/>
        <w:jc w:val="center"/>
        <w:rPr>
          <w:rFonts w:ascii="宋体" w:hAnsi="宋体"/>
          <w:sz w:val="32"/>
        </w:rPr>
      </w:pPr>
    </w:p>
    <w:p>
      <w:pPr>
        <w:spacing w:line="600" w:lineRule="exact"/>
        <w:rPr>
          <w:rFonts w:ascii="仿宋_GB2312" w:hAnsi="宋体" w:eastAsia="仿宋_GB2312"/>
          <w:sz w:val="32"/>
        </w:rPr>
      </w:pPr>
      <w:r>
        <w:rPr>
          <w:rFonts w:hint="eastAsia" w:ascii="仿宋_GB2312" w:hAnsi="宋体" w:eastAsia="仿宋_GB2312"/>
          <w:color w:val="000000"/>
          <w:sz w:val="32"/>
        </w:rPr>
        <w:t>省直各部门</w:t>
      </w:r>
      <w:r>
        <w:rPr>
          <w:rFonts w:hint="eastAsia" w:ascii="仿宋_GB2312" w:hAnsi="宋体" w:eastAsia="仿宋_GB2312"/>
          <w:sz w:val="32"/>
        </w:rPr>
        <w:t>：</w:t>
      </w:r>
    </w:p>
    <w:p>
      <w:pPr>
        <w:spacing w:line="600" w:lineRule="exact"/>
        <w:rPr>
          <w:rFonts w:ascii="仿宋_GB2312" w:hAnsi="宋体" w:eastAsia="仿宋_GB2312"/>
          <w:sz w:val="32"/>
        </w:rPr>
      </w:pPr>
      <w:r>
        <w:rPr>
          <w:rFonts w:hint="eastAsia" w:ascii="仿宋_GB2312" w:hAnsi="宋体" w:eastAsia="仿宋_GB2312"/>
          <w:sz w:val="32"/>
        </w:rPr>
        <w:t xml:space="preserve">    现将《山东省省级行政事业国有资产处置管理办法》印发给你们，请遵照执行。执行中如有问题，请及时向我们反映。</w:t>
      </w:r>
    </w:p>
    <w:p>
      <w:pPr>
        <w:spacing w:line="600" w:lineRule="exact"/>
        <w:jc w:val="center"/>
        <w:rPr>
          <w:rFonts w:ascii="仿宋_GB2312" w:eastAsia="仿宋_GB2312"/>
          <w:sz w:val="32"/>
        </w:rPr>
      </w:pPr>
    </w:p>
    <w:p>
      <w:pPr>
        <w:spacing w:line="600" w:lineRule="exact"/>
        <w:jc w:val="center"/>
        <w:rPr>
          <w:rFonts w:ascii="仿宋_GB2312" w:eastAsia="仿宋_GB2312"/>
          <w:sz w:val="32"/>
        </w:rPr>
      </w:pPr>
    </w:p>
    <w:p>
      <w:pPr>
        <w:spacing w:line="600" w:lineRule="exact"/>
        <w:jc w:val="center"/>
        <w:rPr>
          <w:rFonts w:ascii="仿宋_GB2312" w:eastAsia="仿宋_GB2312"/>
          <w:sz w:val="32"/>
        </w:rPr>
      </w:pPr>
    </w:p>
    <w:p>
      <w:pPr>
        <w:spacing w:line="600" w:lineRule="exact"/>
        <w:ind w:firstLine="4480" w:firstLineChars="1400"/>
        <w:rPr>
          <w:rFonts w:ascii="仿宋_GB2312" w:eastAsia="仿宋_GB2312"/>
          <w:sz w:val="32"/>
        </w:rPr>
      </w:pPr>
      <w:r>
        <w:rPr>
          <w:rFonts w:hint="eastAsia" w:ascii="仿宋_GB2312" w:eastAsia="仿宋_GB2312"/>
          <w:sz w:val="32"/>
        </w:rPr>
        <w:t>二○一一年八月二十六日</w:t>
      </w:r>
    </w:p>
    <w:p>
      <w:pPr>
        <w:spacing w:line="600" w:lineRule="exact"/>
        <w:ind w:firstLine="4160" w:firstLineChars="1300"/>
        <w:rPr>
          <w:rFonts w:ascii="仿宋_GB2312" w:eastAsia="仿宋_GB2312"/>
          <w:sz w:val="32"/>
        </w:rPr>
      </w:pPr>
    </w:p>
    <w:p>
      <w:pPr>
        <w:spacing w:line="600" w:lineRule="exact"/>
        <w:ind w:firstLine="4160" w:firstLineChars="1300"/>
        <w:rPr>
          <w:rFonts w:ascii="仿宋_GB2312" w:eastAsia="仿宋_GB2312"/>
          <w:sz w:val="32"/>
        </w:rPr>
      </w:pPr>
    </w:p>
    <w:p>
      <w:pPr>
        <w:spacing w:line="600" w:lineRule="exact"/>
        <w:ind w:firstLine="4160" w:firstLineChars="1300"/>
        <w:rPr>
          <w:rFonts w:ascii="仿宋_GB2312" w:eastAsia="仿宋_GB2312"/>
          <w:sz w:val="32"/>
        </w:rPr>
      </w:pPr>
    </w:p>
    <w:p>
      <w:pPr>
        <w:spacing w:line="600" w:lineRule="exact"/>
        <w:jc w:val="center"/>
        <w:rPr>
          <w:rFonts w:ascii="文星简大标宋" w:eastAsia="文星简大标宋"/>
          <w:sz w:val="44"/>
          <w:szCs w:val="44"/>
        </w:rPr>
      </w:pPr>
      <w:r>
        <w:rPr>
          <w:rFonts w:hint="eastAsia" w:ascii="文星简大标宋" w:eastAsia="文星简大标宋"/>
          <w:sz w:val="44"/>
          <w:szCs w:val="44"/>
        </w:rPr>
        <w:t>山东省省级行政事业国有资产</w:t>
      </w:r>
    </w:p>
    <w:p>
      <w:pPr>
        <w:spacing w:line="600" w:lineRule="exact"/>
        <w:jc w:val="center"/>
        <w:rPr>
          <w:rFonts w:ascii="文星简大标宋" w:eastAsia="文星简大标宋"/>
          <w:sz w:val="44"/>
          <w:szCs w:val="44"/>
        </w:rPr>
      </w:pPr>
      <w:r>
        <w:rPr>
          <w:rFonts w:hint="eastAsia" w:ascii="文星简大标宋" w:eastAsia="文星简大标宋"/>
          <w:sz w:val="44"/>
          <w:szCs w:val="44"/>
        </w:rPr>
        <w:t>处置管理办法</w:t>
      </w:r>
    </w:p>
    <w:p>
      <w:pPr>
        <w:spacing w:line="600" w:lineRule="exact"/>
        <w:jc w:val="center"/>
        <w:rPr>
          <w:rFonts w:ascii="楷体_GB2312" w:eastAsia="楷体_GB2312"/>
          <w:szCs w:val="32"/>
        </w:rPr>
      </w:pPr>
    </w:p>
    <w:p>
      <w:pPr>
        <w:spacing w:line="600" w:lineRule="exact"/>
        <w:jc w:val="center"/>
        <w:rPr>
          <w:rFonts w:ascii="黑体" w:eastAsia="黑体"/>
          <w:sz w:val="32"/>
          <w:szCs w:val="32"/>
        </w:rPr>
      </w:pPr>
      <w:r>
        <w:rPr>
          <w:rFonts w:hint="eastAsia" w:ascii="黑体" w:hAnsi="宋体" w:eastAsia="黑体"/>
          <w:sz w:val="32"/>
          <w:szCs w:val="32"/>
        </w:rPr>
        <w:t>第一章　总　则</w:t>
      </w:r>
    </w:p>
    <w:p>
      <w:pPr>
        <w:spacing w:line="600" w:lineRule="exact"/>
        <w:jc w:val="center"/>
        <w:rPr>
          <w:rFonts w:ascii="黑体" w:eastAsia="黑体"/>
          <w:sz w:val="32"/>
          <w:szCs w:val="32"/>
        </w:rPr>
      </w:pP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第一条</w:t>
      </w:r>
      <w:r>
        <w:rPr>
          <w:rFonts w:hint="eastAsia" w:ascii="仿宋_GB2312" w:eastAsia="仿宋_GB2312"/>
          <w:sz w:val="32"/>
          <w:szCs w:val="32"/>
        </w:rPr>
        <w:t xml:space="preserve">  为加强省级行政事业单位国有资产处置管理，维护国有资产安全和完整，提高国有资产使用效益，防止国有资产流失，根据《行政单位国有资产管理暂行办法》（财政部令第35号）、《事业单位国有资产管理暂行办法》（财政部令第36号）、《山东省国有资产资源有偿使用收入管理办法》（山东省人民政府令第231号）等规章制度规定，结合我省实际，制定本办法。</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第二条</w:t>
      </w:r>
      <w:r>
        <w:rPr>
          <w:rFonts w:hint="eastAsia" w:ascii="仿宋_GB2312" w:eastAsia="仿宋_GB2312"/>
          <w:sz w:val="32"/>
          <w:szCs w:val="32"/>
        </w:rPr>
        <w:t xml:space="preserve">  本办法适用于执行行政、事业单位财务和会计制度的省级各类行政事业单位、社会团体和组织（简称省级单位）。</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第三条</w:t>
      </w:r>
      <w:r>
        <w:rPr>
          <w:rFonts w:hint="eastAsia" w:ascii="仿宋_GB2312" w:eastAsia="仿宋_GB2312"/>
          <w:sz w:val="32"/>
          <w:szCs w:val="32"/>
        </w:rPr>
        <w:t xml:space="preserve">  本办法所称国有资产处置，是指省级单位占有、使用的国有资产产权转移及注销。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国有资产包括流动资产、固定资产、无形资产、对外投资（含股权）等。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处置方式包括调拨、捐赠、有偿转让（含出售、出让）、报废、报损（含货币性资产损失核销）、置换（含以非货币性资产抵顶债权、债务）以及国家规定的其他方式。</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调拨方式处置国有资产，以不改变国有资产性质为前提。</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第四条</w:t>
      </w:r>
      <w:r>
        <w:rPr>
          <w:rFonts w:hint="eastAsia" w:ascii="仿宋_GB2312" w:eastAsia="仿宋_GB2312"/>
          <w:sz w:val="32"/>
          <w:szCs w:val="32"/>
        </w:rPr>
        <w:t xml:space="preserve">  省级单位国有资产处置实行审批制度。省财政厅、省级单位主管部门（简称主管部门）按照规定权限和程序对省级单位国有资产处置事项进行审批（审核）。</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级单位处置房屋建筑物（含土地使用权）、机动车辆、对外投资（含股权）等国有资产，按本办法规定权限和程序报经批准后，方可向房屋登记、国土资源、公安交通管理和工商等部门申请办理产权、产籍、股权等变更或者注销手续。</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未按规定权限和程序报经批准，任何单位和个人不得擅自处置国有资产，不得处理相关会计账务。</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第五条</w:t>
      </w:r>
      <w:r>
        <w:rPr>
          <w:rFonts w:hint="eastAsia" w:ascii="仿宋_GB2312" w:eastAsia="仿宋_GB2312"/>
          <w:sz w:val="32"/>
          <w:szCs w:val="32"/>
        </w:rPr>
        <w:t xml:space="preserve">  省级单位拟处置的国有资产产权应当清晰。权属关系不明确或者存在权属纠纷的资产，须待权属界定明确后予以处置；申请处置租赁期未满的资产应当符合国家法律法规的规定；被设置为担保物和涉及法律诉讼的国有资产，担保和法律诉讼期间不得申请处置，国家法律法规另有规定的，从其规定。</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第六条</w:t>
      </w:r>
      <w:r>
        <w:rPr>
          <w:rFonts w:hint="eastAsia" w:ascii="仿宋_GB2312" w:eastAsia="仿宋_GB2312"/>
          <w:sz w:val="32"/>
          <w:szCs w:val="32"/>
        </w:rPr>
        <w:t xml:space="preserve">  省级单位国有资产处置遵循“公开、公平、公正”的原则，一般程序是：单位申报、审核审批、资产评估、资产处置、上缴收入、账务处理、产权登记。</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第七条</w:t>
      </w:r>
      <w:r>
        <w:rPr>
          <w:rFonts w:hint="eastAsia" w:ascii="仿宋_GB2312" w:eastAsia="仿宋_GB2312"/>
          <w:sz w:val="32"/>
          <w:szCs w:val="32"/>
        </w:rPr>
        <w:t xml:space="preserve">  省财政厅、主管部门在本办法规定的审批权限范围内，对省级单位申请处置，或者超标配置、低效运转、长期闲置的国有资产，有权先行调剂使用，促进资源整合和资产共享共用，提高国有资产使用效益。</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第八条</w:t>
      </w:r>
      <w:r>
        <w:rPr>
          <w:rFonts w:hint="eastAsia" w:ascii="仿宋_GB2312" w:eastAsia="仿宋_GB2312"/>
          <w:sz w:val="32"/>
          <w:szCs w:val="32"/>
        </w:rPr>
        <w:t xml:space="preserve">  省级单位应当建立健全内部国有资产管理制度，严格管理产权、产籍等档案资料，充分利用“山东省行政事业资产管理信息系统”开展日常资产管理工作，严格按照国家有关财务和会计制度规定，及时准确反映资产增减变动的情况，规范资产处置行为和流程，确保国有资产安全完整及合理、节约、有效使用。</w:t>
      </w:r>
    </w:p>
    <w:p>
      <w:pPr>
        <w:tabs>
          <w:tab w:val="left" w:pos="1620"/>
        </w:tabs>
        <w:spacing w:line="600" w:lineRule="exact"/>
        <w:rPr>
          <w:rFonts w:ascii="仿宋_GB2312" w:eastAsia="仿宋_GB2312"/>
          <w:sz w:val="32"/>
          <w:szCs w:val="32"/>
        </w:rPr>
      </w:pPr>
    </w:p>
    <w:p>
      <w:pPr>
        <w:spacing w:line="600" w:lineRule="exact"/>
        <w:jc w:val="center"/>
        <w:rPr>
          <w:rFonts w:ascii="黑体" w:hAnsi="宋体" w:eastAsia="黑体"/>
          <w:sz w:val="32"/>
          <w:szCs w:val="32"/>
        </w:rPr>
      </w:pPr>
      <w:r>
        <w:rPr>
          <w:rFonts w:hint="eastAsia" w:ascii="黑体" w:hAnsi="宋体" w:eastAsia="黑体"/>
          <w:sz w:val="32"/>
          <w:szCs w:val="32"/>
        </w:rPr>
        <w:t>第二章　审批管理</w:t>
      </w:r>
    </w:p>
    <w:p>
      <w:pPr>
        <w:spacing w:line="600" w:lineRule="exact"/>
        <w:jc w:val="center"/>
        <w:rPr>
          <w:rFonts w:ascii="黑体" w:hAnsi="宋体" w:eastAsia="黑体"/>
          <w:sz w:val="32"/>
          <w:szCs w:val="32"/>
        </w:rPr>
      </w:pP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第九条</w:t>
      </w:r>
      <w:r>
        <w:rPr>
          <w:rFonts w:hint="eastAsia" w:ascii="仿宋_GB2312" w:eastAsia="仿宋_GB2312"/>
          <w:sz w:val="32"/>
          <w:szCs w:val="32"/>
        </w:rPr>
        <w:t xml:space="preserve">  省级单位符合下列条件之一的国有资产可以申请处置：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（一）经技术鉴定已丧失使用价值的资产；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（二）按照国家规定强制报废的资产；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（三）盘亏、呆账及非正常损失的资产；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（四）闲置资产；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（五）超标准配置的资产；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（六）因技术原因不能满足本单位工作需要的资产；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（七）抵顶债务的非货币性资产；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（八）已达到国家或者省规定使用期限，继续使用不经济的资产；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（九）在不影响本单位业务正常开展的前提下，权属关系变更能够带来更大经济效益或者能够减少经济损失的资产；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（十）法律上所有权已经丧失或者无法追索的资产；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（十一）因单位撤销、合并、分立、改制、隶属关系改变等原因需要处置的资产；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（十二）依据国家规定需要处置的其他资产。</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第十条</w:t>
      </w:r>
      <w:r>
        <w:rPr>
          <w:rFonts w:hint="eastAsia" w:ascii="仿宋_GB2312" w:eastAsia="仿宋_GB2312"/>
          <w:sz w:val="32"/>
          <w:szCs w:val="32"/>
        </w:rPr>
        <w:t xml:space="preserve">  审批权限。</w:t>
      </w:r>
    </w:p>
    <w:p>
      <w:pPr>
        <w:spacing w:line="600" w:lineRule="exact"/>
        <w:ind w:firstLine="640" w:firstLineChars="200"/>
        <w:rPr>
          <w:rFonts w:ascii="仿宋_GB2312" w:eastAsia="仿宋_GB2312"/>
          <w:sz w:val="32"/>
          <w:szCs w:val="32"/>
        </w:rPr>
      </w:pPr>
      <w:r>
        <w:rPr>
          <w:rFonts w:hint="eastAsia" w:ascii="仿宋_GB2312" w:eastAsia="仿宋_GB2312"/>
          <w:kern w:val="0"/>
          <w:sz w:val="32"/>
          <w:szCs w:val="32"/>
        </w:rPr>
        <w:t>下列国有资产处置事项由省财政厅审批：</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（一）</w:t>
      </w:r>
      <w:r>
        <w:rPr>
          <w:rFonts w:hint="eastAsia" w:ascii="仿宋_GB2312" w:eastAsia="仿宋_GB2312"/>
          <w:sz w:val="32"/>
          <w:szCs w:val="32"/>
        </w:rPr>
        <w:t>房屋建筑物（含土地使用权）</w:t>
      </w:r>
      <w:r>
        <w:rPr>
          <w:rFonts w:hint="eastAsia" w:ascii="仿宋_GB2312" w:eastAsia="仿宋_GB2312"/>
          <w:kern w:val="0"/>
          <w:sz w:val="32"/>
          <w:szCs w:val="32"/>
        </w:rPr>
        <w:t>；</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（二）货币性资产（含货币资金及往来款项）；</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（三）对外投资（含股权）；</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sz w:val="32"/>
          <w:szCs w:val="32"/>
        </w:rPr>
        <w:t>（四）单项账面原值10万元以上交通运输工具</w:t>
      </w:r>
      <w:r>
        <w:rPr>
          <w:rFonts w:hint="eastAsia" w:ascii="仿宋_GB2312" w:eastAsia="仿宋_GB2312"/>
          <w:kern w:val="0"/>
          <w:sz w:val="32"/>
          <w:szCs w:val="32"/>
        </w:rPr>
        <w:t>；</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（五）</w:t>
      </w:r>
      <w:r>
        <w:rPr>
          <w:rFonts w:hint="eastAsia" w:ascii="仿宋_GB2312" w:eastAsia="仿宋_GB2312"/>
          <w:sz w:val="32"/>
          <w:szCs w:val="32"/>
        </w:rPr>
        <w:t>单项账面原值50万元以上无形资产（不含土地使用权）；</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（六）单项</w:t>
      </w:r>
      <w:r>
        <w:rPr>
          <w:rFonts w:hint="eastAsia" w:ascii="仿宋_GB2312" w:eastAsia="仿宋_GB2312"/>
          <w:sz w:val="32"/>
          <w:szCs w:val="32"/>
        </w:rPr>
        <w:t>账面原值</w:t>
      </w:r>
      <w:r>
        <w:rPr>
          <w:rFonts w:hint="eastAsia" w:ascii="仿宋_GB2312" w:eastAsia="仿宋_GB2312"/>
          <w:kern w:val="0"/>
          <w:sz w:val="32"/>
          <w:szCs w:val="32"/>
        </w:rPr>
        <w:t>50万元以上通用及专用设备；</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（七）批量</w:t>
      </w:r>
      <w:r>
        <w:rPr>
          <w:rFonts w:hint="eastAsia" w:ascii="仿宋_GB2312" w:eastAsia="仿宋_GB2312"/>
          <w:sz w:val="32"/>
          <w:szCs w:val="32"/>
        </w:rPr>
        <w:t>账面</w:t>
      </w:r>
      <w:r>
        <w:rPr>
          <w:rFonts w:hint="eastAsia" w:ascii="仿宋_GB2312" w:eastAsia="仿宋_GB2312"/>
          <w:kern w:val="0"/>
          <w:sz w:val="32"/>
          <w:szCs w:val="32"/>
        </w:rPr>
        <w:t>原值30万元以上存货；</w:t>
      </w:r>
    </w:p>
    <w:p>
      <w:pPr>
        <w:tabs>
          <w:tab w:val="left" w:pos="1620"/>
        </w:tabs>
        <w:spacing w:line="600" w:lineRule="exact"/>
        <w:ind w:firstLine="640" w:firstLineChars="200"/>
        <w:rPr>
          <w:rFonts w:ascii="仿宋_GB2312" w:eastAsia="仿宋_GB2312"/>
          <w:sz w:val="32"/>
          <w:szCs w:val="32"/>
        </w:rPr>
      </w:pPr>
      <w:r>
        <w:rPr>
          <w:rFonts w:hint="eastAsia" w:ascii="仿宋_GB2312" w:eastAsia="仿宋_GB2312"/>
          <w:kern w:val="0"/>
          <w:sz w:val="32"/>
          <w:szCs w:val="32"/>
        </w:rPr>
        <w:t>（八）</w:t>
      </w:r>
      <w:r>
        <w:rPr>
          <w:rFonts w:hint="eastAsia" w:ascii="仿宋_GB2312" w:eastAsia="仿宋_GB2312"/>
          <w:sz w:val="32"/>
          <w:szCs w:val="32"/>
        </w:rPr>
        <w:t>单位撤销、合并、分立、改制、隶属关系改变等情形下的整体资产处置。</w:t>
      </w:r>
    </w:p>
    <w:p>
      <w:pPr>
        <w:tabs>
          <w:tab w:val="left" w:pos="1620"/>
        </w:tabs>
        <w:spacing w:line="600" w:lineRule="exact"/>
        <w:ind w:firstLine="640" w:firstLineChars="200"/>
        <w:rPr>
          <w:rFonts w:ascii="仿宋_GB2312" w:eastAsia="仿宋_GB2312"/>
          <w:kern w:val="0"/>
          <w:sz w:val="32"/>
          <w:szCs w:val="32"/>
        </w:rPr>
      </w:pPr>
      <w:r>
        <w:rPr>
          <w:rFonts w:hint="eastAsia" w:ascii="仿宋_GB2312" w:eastAsia="仿宋_GB2312"/>
          <w:kern w:val="0"/>
          <w:sz w:val="32"/>
          <w:szCs w:val="32"/>
        </w:rPr>
        <w:t>前款规定以外的国有资产处置事项，由省财政厅授权主管部门审批。主管部门对所属单位可适当下放审批权限。</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第十一条</w:t>
      </w:r>
      <w:r>
        <w:rPr>
          <w:rFonts w:hint="eastAsia" w:ascii="仿宋_GB2312" w:eastAsia="仿宋_GB2312"/>
          <w:sz w:val="32"/>
          <w:szCs w:val="32"/>
        </w:rPr>
        <w:t xml:space="preserve">  报批程序。</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省级单位申报国有资产处置事项，应当区别不同情况，提供相应的申办资料（见附件1）。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单位申报资产处置事项时，按本办法规定提供纸质申办材料，同时通过“山东省行政事业资产管理信息系统”进行网上办理。网上办理的具体实施办法由省财政厅另行制定。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省财政厅审批事项，主管部门负责单位申办资料的合规性、真实性审核，提出审核意见后，转报省财政厅审批；省财政厅授权审批事项，主管部门按照本办法规定审核审批，并抄送省财政厅。</w:t>
      </w:r>
    </w:p>
    <w:p>
      <w:pPr>
        <w:tabs>
          <w:tab w:val="left" w:pos="1980"/>
        </w:tabs>
        <w:spacing w:line="600" w:lineRule="exact"/>
        <w:ind w:firstLine="640" w:firstLineChars="200"/>
        <w:rPr>
          <w:rFonts w:ascii="仿宋_GB2312" w:eastAsia="仿宋_GB2312"/>
          <w:sz w:val="32"/>
          <w:szCs w:val="32"/>
        </w:rPr>
      </w:pPr>
      <w:r>
        <w:rPr>
          <w:rFonts w:hint="eastAsia" w:ascii="楷体_GB2312" w:eastAsia="楷体_GB2312"/>
          <w:sz w:val="32"/>
          <w:szCs w:val="32"/>
        </w:rPr>
        <w:t>第十二条</w:t>
      </w:r>
      <w:r>
        <w:rPr>
          <w:rFonts w:hint="eastAsia" w:ascii="仿宋_GB2312" w:eastAsia="仿宋_GB2312"/>
          <w:sz w:val="32"/>
          <w:szCs w:val="32"/>
        </w:rPr>
        <w:t xml:space="preserve">  审批（审核）时限。</w:t>
      </w:r>
    </w:p>
    <w:p>
      <w:pPr>
        <w:tabs>
          <w:tab w:val="left" w:pos="1980"/>
        </w:tabs>
        <w:spacing w:line="600" w:lineRule="exact"/>
        <w:ind w:firstLine="640" w:firstLineChars="200"/>
        <w:rPr>
          <w:rFonts w:ascii="仿宋_GB2312" w:eastAsia="仿宋_GB2312"/>
          <w:sz w:val="32"/>
          <w:szCs w:val="32"/>
        </w:rPr>
      </w:pPr>
      <w:r>
        <w:rPr>
          <w:rFonts w:hint="eastAsia" w:ascii="仿宋_GB2312" w:eastAsia="仿宋_GB2312"/>
          <w:sz w:val="32"/>
          <w:szCs w:val="32"/>
        </w:rPr>
        <w:t>根据需要，省财政厅、主管部门可对申报处置的国有资产进行现场勘查，或者委托有关机构进行鉴证。</w:t>
      </w:r>
    </w:p>
    <w:p>
      <w:pPr>
        <w:tabs>
          <w:tab w:val="left" w:pos="1980"/>
        </w:tabs>
        <w:spacing w:line="600" w:lineRule="exact"/>
        <w:ind w:firstLine="640" w:firstLineChars="200"/>
        <w:rPr>
          <w:rFonts w:ascii="仿宋_GB2312" w:eastAsia="仿宋_GB2312"/>
          <w:sz w:val="32"/>
          <w:szCs w:val="32"/>
        </w:rPr>
      </w:pPr>
      <w:r>
        <w:rPr>
          <w:rFonts w:hint="eastAsia" w:ascii="仿宋_GB2312" w:eastAsia="仿宋_GB2312"/>
          <w:sz w:val="32"/>
          <w:szCs w:val="32"/>
        </w:rPr>
        <w:t>省财政厅、主管部门自收到符合本办法要求的完整申办资料后14个工作日内按照规定权限审批或者审核转报；需进行现场勘查或者鉴证的，在勘查或者鉴证结束后14个工作日内按照规定权限审批或者审核转报。</w:t>
      </w:r>
    </w:p>
    <w:p>
      <w:pPr>
        <w:tabs>
          <w:tab w:val="left" w:pos="1920"/>
          <w:tab w:val="left" w:pos="2160"/>
        </w:tabs>
        <w:spacing w:line="600" w:lineRule="exact"/>
        <w:ind w:firstLine="640" w:firstLineChars="200"/>
        <w:rPr>
          <w:rFonts w:ascii="仿宋_GB2312" w:eastAsia="仿宋_GB2312"/>
          <w:sz w:val="32"/>
          <w:szCs w:val="32"/>
        </w:rPr>
      </w:pPr>
      <w:r>
        <w:rPr>
          <w:rFonts w:hint="eastAsia" w:ascii="楷体_GB2312" w:eastAsia="楷体_GB2312"/>
          <w:sz w:val="32"/>
          <w:szCs w:val="32"/>
        </w:rPr>
        <w:t>第十三条</w:t>
      </w:r>
      <w:r>
        <w:rPr>
          <w:rFonts w:hint="eastAsia" w:ascii="仿宋_GB2312" w:eastAsia="仿宋_GB2312"/>
          <w:sz w:val="32"/>
          <w:szCs w:val="32"/>
        </w:rPr>
        <w:t xml:space="preserve">  省级单位、主管部门对申办资料的真实性负责。社会中介机构及相关执业人员对所出具的审计报告、评估报告、经济或者技术鉴证证明、法律意见书等独立承担法律责任。</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第十四条</w:t>
      </w:r>
      <w:r>
        <w:rPr>
          <w:rFonts w:hint="eastAsia" w:ascii="仿宋_GB2312" w:eastAsia="仿宋_GB2312"/>
          <w:sz w:val="32"/>
          <w:szCs w:val="32"/>
        </w:rPr>
        <w:t xml:space="preserve">  报批方式。</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审批调拨（省级单位之间）、报废国有资产事项采取审批表（见附件2、附件3）方式；审批调拨（不同预算级次之间）、捐赠、股权划转、有偿转让（含出售、出让）、报损、置换国有资产事项，以及因撤销、合并、分立、改制、隶属关系改变等原因进行国有资产整体处置的，采取公文报批方式。省级单位、主管部门应视其处置资产事项的类别分别采用表格或者正式公文形式申报。</w:t>
      </w:r>
    </w:p>
    <w:p>
      <w:pPr>
        <w:spacing w:line="600" w:lineRule="exact"/>
        <w:jc w:val="center"/>
        <w:rPr>
          <w:rFonts w:ascii="黑体" w:hAnsi="宋体" w:eastAsia="黑体"/>
          <w:sz w:val="32"/>
          <w:szCs w:val="32"/>
        </w:rPr>
      </w:pPr>
    </w:p>
    <w:p>
      <w:pPr>
        <w:spacing w:line="600" w:lineRule="exact"/>
        <w:jc w:val="center"/>
        <w:rPr>
          <w:rFonts w:ascii="黑体" w:hAnsi="宋体" w:eastAsia="黑体"/>
          <w:sz w:val="32"/>
          <w:szCs w:val="32"/>
        </w:rPr>
      </w:pPr>
      <w:r>
        <w:rPr>
          <w:rFonts w:hint="eastAsia" w:ascii="黑体" w:hAnsi="宋体" w:eastAsia="黑体"/>
          <w:sz w:val="32"/>
          <w:szCs w:val="32"/>
        </w:rPr>
        <w:t>第三章　处置管理</w:t>
      </w:r>
    </w:p>
    <w:p>
      <w:pPr>
        <w:spacing w:line="600" w:lineRule="exact"/>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第十五条</w:t>
      </w:r>
      <w:r>
        <w:rPr>
          <w:rFonts w:hint="eastAsia" w:ascii="仿宋_GB2312" w:eastAsia="仿宋_GB2312"/>
          <w:sz w:val="32"/>
          <w:szCs w:val="32"/>
        </w:rPr>
        <w:t xml:space="preserve">  有偿转让国有资产，应当采取拍卖、招投标方式进行，不适用或者不便于以拍卖、招投标方式进行的，经批准可采取协议或者以国家法律法规规定的其他方式进行。</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第十六条</w:t>
      </w:r>
      <w:r>
        <w:rPr>
          <w:rFonts w:hint="eastAsia" w:ascii="仿宋_GB2312" w:eastAsia="仿宋_GB2312"/>
          <w:sz w:val="32"/>
          <w:szCs w:val="32"/>
        </w:rPr>
        <w:t xml:space="preserve">  省级单位应当按照省财政厅或者主管部门批准的资产处置方式处置国有资产。如需变更处置方式，应按原审批渠道重新报批后实施。</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第十七条</w:t>
      </w:r>
      <w:r>
        <w:rPr>
          <w:rFonts w:hint="eastAsia" w:ascii="仿宋_GB2312" w:eastAsia="仿宋_GB2312"/>
          <w:sz w:val="32"/>
          <w:szCs w:val="32"/>
        </w:rPr>
        <w:t xml:space="preserve">  以有偿转让或者置换方式处置国有资产的、以非货币性资产抵顶债权债务的，应当委托管理规范、执业质量和社会信誉较好的社会中介机构进行资产评估。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委托社会中介机构评估实行有偿服务，按照“谁委托谁付费”的原则管理。大宗或者大额资产以及房屋、土地使用权、股权等的评估由省财政厅委托，中介服务费用由财政部门支付；其余资产由主管部门或者省级单位委托中介机构评估并支付服务费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经省财政厅批准处置，由主管部门或者省级单位委托中介机构评估的资产，评估结束后，应当按照国家有关规定向省财政厅履行备案手续。备案需使用财政部门统一制定的备案表。</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第十八条</w:t>
      </w:r>
      <w:r>
        <w:rPr>
          <w:rFonts w:hint="eastAsia" w:ascii="仿宋_GB2312" w:eastAsia="仿宋_GB2312"/>
          <w:sz w:val="32"/>
          <w:szCs w:val="32"/>
        </w:rPr>
        <w:t xml:space="preserve">  资产评估结果是处置资产作价的依据。意向转让价格（包括拍卖保留价）低于评估结果的90%或者上一次批准处置价格的90%，须按原渠道报经原审批部门重新批准，未经重新批准，不得擅自降低资产处置价格。</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转让所持上市公司股份，应当符合国家相关管理制度规定。</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第十九条</w:t>
      </w:r>
      <w:r>
        <w:rPr>
          <w:rFonts w:hint="eastAsia" w:ascii="仿宋_GB2312" w:eastAsia="仿宋_GB2312"/>
          <w:sz w:val="32"/>
          <w:szCs w:val="32"/>
        </w:rPr>
        <w:t xml:space="preserve">  依据政府或者有关部门的批准文件，因单位撤销、合并、分立、隶属关系改变等原因进行国有资产整体处置的，主管部门应负责组织资产清查并委托中介机构进行财务审计。在形成资产清查结果和财务审计报告的基础上，向省财政厅提出资产处置申请。</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第二十条</w:t>
      </w:r>
      <w:r>
        <w:rPr>
          <w:rFonts w:hint="eastAsia" w:ascii="仿宋_GB2312" w:eastAsia="仿宋_GB2312"/>
          <w:sz w:val="32"/>
          <w:szCs w:val="32"/>
        </w:rPr>
        <w:t xml:space="preserve">  依据政府或者有关部门的批准文件，因单位改制进行国有资产整体处置的，主管部门应负责组织资产清查。在资产清查的基础上，由省财政厅组织办理财务审计、资产评估、核定国家资本金等事项。涉及资产损失认定、核销的，由主管部门履行报批手续。</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第二十一条</w:t>
      </w:r>
      <w:r>
        <w:rPr>
          <w:rFonts w:hint="eastAsia" w:ascii="仿宋_GB2312" w:eastAsia="仿宋_GB2312"/>
          <w:sz w:val="32"/>
          <w:szCs w:val="32"/>
        </w:rPr>
        <w:t xml:space="preserve">  经批准报废的资产，由单位按国家规定渠道予以处理。</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第二十二条</w:t>
      </w:r>
      <w:r>
        <w:rPr>
          <w:rFonts w:hint="eastAsia" w:ascii="仿宋_GB2312" w:eastAsia="仿宋_GB2312"/>
          <w:sz w:val="32"/>
          <w:szCs w:val="32"/>
        </w:rPr>
        <w:t xml:space="preserve">  涉密国有资产处置，按照国家有关保密规定办理。人民防空国有战备资产处置，按照《中华人民共和国人民防空法》的规定办理。</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第二十三条</w:t>
      </w:r>
      <w:r>
        <w:rPr>
          <w:rFonts w:hint="eastAsia" w:ascii="仿宋_GB2312" w:eastAsia="仿宋_GB2312"/>
          <w:sz w:val="32"/>
          <w:szCs w:val="32"/>
        </w:rPr>
        <w:t xml:space="preserve">  经批准处置的国有资产，在资产完全移交之前，除另有规定外，原占有、使用单位对相关资产的安全完整负责。</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w:t>
      </w:r>
    </w:p>
    <w:p>
      <w:pPr>
        <w:spacing w:line="600" w:lineRule="exact"/>
        <w:ind w:firstLine="640" w:firstLineChars="200"/>
        <w:jc w:val="center"/>
        <w:rPr>
          <w:rFonts w:ascii="黑体" w:hAnsi="宋体" w:eastAsia="黑体"/>
          <w:sz w:val="32"/>
          <w:szCs w:val="32"/>
        </w:rPr>
      </w:pPr>
      <w:r>
        <w:rPr>
          <w:rFonts w:hint="eastAsia" w:ascii="黑体" w:hAnsi="宋体" w:eastAsia="黑体"/>
          <w:sz w:val="32"/>
          <w:szCs w:val="32"/>
        </w:rPr>
        <w:t>第四章　收入管理、账务处理及产权登记</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第二十四条</w:t>
      </w:r>
      <w:r>
        <w:rPr>
          <w:rFonts w:hint="eastAsia" w:ascii="仿宋_GB2312" w:eastAsia="仿宋_GB2312"/>
          <w:sz w:val="32"/>
          <w:szCs w:val="32"/>
        </w:rPr>
        <w:t xml:space="preserve">  省级单位国有资产处置收入包括国有资产（含股权）有偿转让（含出售、出让）收入、报废报损资产残值变价收入、拆迁补偿收入、置换差价收入、保险理赔收入以及处置国有资产取得的其他收入。</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第二十五条</w:t>
      </w:r>
      <w:r>
        <w:rPr>
          <w:rFonts w:hint="eastAsia" w:ascii="仿宋_GB2312" w:eastAsia="仿宋_GB2312"/>
          <w:sz w:val="32"/>
          <w:szCs w:val="32"/>
        </w:rPr>
        <w:t xml:space="preserve">  省级单位国有资产处置收入属于政府非税收入，在扣除处置资产发生的评估费、拍卖佣金等直接费用后，全额上缴省级财政国库，纳入财政预算管理。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省级单位不得隐瞒、截留、挤占、挪用、坐支或者擅自减收、免收、缓收国有资产处置收入。</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第二十六条</w:t>
      </w:r>
      <w:r>
        <w:rPr>
          <w:rFonts w:hint="eastAsia" w:ascii="仿宋_GB2312" w:eastAsia="仿宋_GB2312"/>
          <w:sz w:val="32"/>
          <w:szCs w:val="32"/>
        </w:rPr>
        <w:t xml:space="preserve">  省级单位应向省财政厅申请执收项目编码，使用省财政厅统一印制的“山东省非税收入缴款书”，通过“山东省非税收入征收管理系统”上缴国有资产处置收入。</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第二十七条</w:t>
      </w:r>
      <w:r>
        <w:rPr>
          <w:rFonts w:hint="eastAsia" w:ascii="仿宋_GB2312" w:eastAsia="仿宋_GB2312"/>
          <w:sz w:val="32"/>
          <w:szCs w:val="32"/>
        </w:rPr>
        <w:t xml:space="preserve">  省级单位在实际完成资产处置事项后，方可依据国有资产处置事项批准文件（审批表）及其他合法有效凭证，按照行政事业财务和会计制度规定处理会计账务，同时在“山东省行政事业资产管理信息系统”中减少或者增加相关资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前款所称“实际完成”的含义为：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调拨资产，指完成资产移交、办理产权、产籍变更手续并取得调入方接收凭据；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报废资产或者报损实物资产，指完成资产变卖或者交存手续并取得变价收入或者交存凭证；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有偿转让（含出售、出让）、置换资产，指取得转让（含出售、出让）价款、置换资产、置换资产差价并完成产权、产籍变更手续。</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第二十八条</w:t>
      </w:r>
      <w:r>
        <w:rPr>
          <w:rFonts w:hint="eastAsia" w:ascii="仿宋_GB2312" w:eastAsia="仿宋_GB2312"/>
          <w:sz w:val="32"/>
          <w:szCs w:val="32"/>
        </w:rPr>
        <w:t xml:space="preserve">  省级单位对经批准核销的货币性资产损失和对外投资损失，应当建立“账销案存”管理制度，妥善保管相关资料、凭证，并继续予以追索。</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第二十九条</w:t>
      </w:r>
      <w:r>
        <w:rPr>
          <w:rFonts w:hint="eastAsia" w:ascii="仿宋_GB2312" w:eastAsia="仿宋_GB2312"/>
          <w:sz w:val="32"/>
          <w:szCs w:val="32"/>
        </w:rPr>
        <w:t xml:space="preserve">  省级单位因撤销、合并、分立、改制、隶属关系改变等原因进行整体国有资产处置的，在整体资产处置完毕30个工作日内，到省财政厅办理变动产权或者注销产权登记。其他资产处置事项的产权登记事宜结合产权登记年度检查进行。</w:t>
      </w:r>
    </w:p>
    <w:p>
      <w:pPr>
        <w:spacing w:line="600" w:lineRule="exact"/>
        <w:rPr>
          <w:rFonts w:ascii="仿宋_GB2312" w:eastAsia="仿宋_GB2312"/>
          <w:sz w:val="32"/>
          <w:szCs w:val="32"/>
        </w:rPr>
      </w:pPr>
    </w:p>
    <w:p>
      <w:pPr>
        <w:spacing w:line="600" w:lineRule="exact"/>
        <w:jc w:val="center"/>
        <w:rPr>
          <w:rFonts w:ascii="黑体" w:hAnsi="宋体" w:eastAsia="黑体"/>
          <w:sz w:val="32"/>
          <w:szCs w:val="32"/>
        </w:rPr>
      </w:pPr>
      <w:r>
        <w:rPr>
          <w:rFonts w:hint="eastAsia" w:ascii="黑体" w:hAnsi="宋体" w:eastAsia="黑体"/>
          <w:sz w:val="32"/>
          <w:szCs w:val="32"/>
        </w:rPr>
        <w:t>第五章　附　则</w:t>
      </w:r>
    </w:p>
    <w:p>
      <w:pPr>
        <w:spacing w:line="600" w:lineRule="exact"/>
        <w:jc w:val="center"/>
        <w:rPr>
          <w:rFonts w:ascii="仿宋_GB2312" w:hAnsi="宋体" w:eastAsia="仿宋_GB2312"/>
          <w:sz w:val="32"/>
          <w:szCs w:val="32"/>
        </w:rPr>
      </w:pP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第三十条</w:t>
      </w:r>
      <w:r>
        <w:rPr>
          <w:rFonts w:hint="eastAsia" w:ascii="仿宋_GB2312" w:eastAsia="仿宋_GB2312"/>
          <w:sz w:val="32"/>
          <w:szCs w:val="32"/>
        </w:rPr>
        <w:t xml:space="preserve">  执行《民间非盈利组织会计制度》的省级社会团体、基金会和民办非企业单位国有资产处置，参照本办法执行。</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第三十一条</w:t>
      </w:r>
      <w:r>
        <w:rPr>
          <w:rFonts w:hint="eastAsia" w:ascii="仿宋_GB2312" w:eastAsia="仿宋_GB2312"/>
          <w:sz w:val="32"/>
          <w:szCs w:val="32"/>
        </w:rPr>
        <w:t xml:space="preserve">  省级政法机关和行政执法机关罚没的非货币性资产处置、省级单位管理的国家储备（应急）资产处置，按照国家和省有关规定办理；国家和省没有规定的，依照本办法执行。</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 xml:space="preserve">第三十二条  </w:t>
      </w:r>
      <w:r>
        <w:rPr>
          <w:rFonts w:hint="eastAsia" w:ascii="仿宋_GB2312" w:eastAsia="仿宋_GB2312"/>
          <w:sz w:val="32"/>
          <w:szCs w:val="32"/>
        </w:rPr>
        <w:t>省级单位召开重大会议、举办大型活动等临时购建的国有资产以及临时机构的资产处置，依照本办法执行。</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第三十三条</w:t>
      </w:r>
      <w:r>
        <w:rPr>
          <w:rFonts w:hint="eastAsia" w:ascii="仿宋_GB2312" w:eastAsia="仿宋_GB2312"/>
          <w:sz w:val="32"/>
          <w:szCs w:val="32"/>
        </w:rPr>
        <w:t xml:space="preserve">  执行企业财务会计规范的省级单位处置国有资产，由省财政厅按企业国有资产监督管理的有关规定实施监督管理。</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第三十四条</w:t>
      </w:r>
      <w:r>
        <w:rPr>
          <w:rFonts w:hint="eastAsia" w:ascii="仿宋_GB2312" w:eastAsia="仿宋_GB2312"/>
          <w:sz w:val="32"/>
          <w:szCs w:val="32"/>
        </w:rPr>
        <w:t xml:space="preserve">  违反本办法规定的，依据《财政违法行为处罚处分条例》（国务院令第427号）和山东省人大颁布的《山东省财政监督条例》规定予以处理。情节严重的，依据国家法律法规的有关规定，追究相关单位及其责任人员的责任；构成犯罪的，移送司法机关依法追究刑事责任。</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第三十五条</w:t>
      </w:r>
      <w:r>
        <w:rPr>
          <w:rFonts w:hint="eastAsia" w:ascii="仿宋_GB2312" w:eastAsia="仿宋_GB2312"/>
          <w:sz w:val="32"/>
          <w:szCs w:val="32"/>
        </w:rPr>
        <w:t xml:space="preserve">  本办法由省财政厅负责解释。主管部门可依据本办法制定本部门的具体管理办法，报省财政厅备案。</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第三十六条</w:t>
      </w:r>
      <w:r>
        <w:rPr>
          <w:rFonts w:hint="eastAsia" w:ascii="仿宋_GB2312" w:eastAsia="仿宋_GB2312"/>
          <w:sz w:val="32"/>
          <w:szCs w:val="32"/>
        </w:rPr>
        <w:t xml:space="preserve">  本办法自2011年10月1日起施行，有效期5年。《山东省省级行政事业单位国有资产处置管理暂行办法》（鲁财资〔2009〕114号）同时废止。</w:t>
      </w:r>
    </w:p>
    <w:p>
      <w:pPr>
        <w:spacing w:line="600" w:lineRule="exact"/>
        <w:ind w:firstLine="640" w:firstLineChars="200"/>
        <w:rPr>
          <w:rFonts w:ascii="仿宋_GB2312" w:eastAsia="仿宋_GB2312"/>
          <w:sz w:val="32"/>
          <w:szCs w:val="32"/>
        </w:rPr>
      </w:pPr>
    </w:p>
    <w:p>
      <w:pPr>
        <w:tabs>
          <w:tab w:val="left" w:pos="1620"/>
        </w:tabs>
        <w:spacing w:line="600" w:lineRule="exact"/>
        <w:ind w:firstLine="640" w:firstLineChars="200"/>
        <w:rPr>
          <w:rFonts w:ascii="仿宋_GB2312" w:eastAsia="仿宋_GB2312"/>
          <w:sz w:val="32"/>
          <w:szCs w:val="32"/>
        </w:rPr>
      </w:pPr>
      <w:r>
        <w:rPr>
          <w:rFonts w:hint="eastAsia" w:ascii="仿宋_GB2312" w:eastAsia="仿宋_GB2312"/>
          <w:sz w:val="32"/>
          <w:szCs w:val="32"/>
        </w:rPr>
        <w:t>附件：1、山东省省级行政事业国有资产处置申办资料</w:t>
      </w:r>
    </w:p>
    <w:p>
      <w:pPr>
        <w:tabs>
          <w:tab w:val="left" w:pos="1620"/>
        </w:tabs>
        <w:spacing w:line="600" w:lineRule="exact"/>
        <w:ind w:firstLine="1600" w:firstLineChars="500"/>
        <w:rPr>
          <w:rFonts w:ascii="仿宋_GB2312" w:eastAsia="仿宋_GB2312"/>
          <w:sz w:val="32"/>
          <w:szCs w:val="32"/>
        </w:rPr>
      </w:pPr>
      <w:r>
        <w:rPr>
          <w:rFonts w:hint="eastAsia" w:ascii="仿宋_GB2312" w:eastAsia="仿宋_GB2312"/>
          <w:sz w:val="32"/>
          <w:szCs w:val="32"/>
        </w:rPr>
        <w:t>2、山东省省级行政事业国有资产调拨审批表（式样）</w:t>
      </w:r>
    </w:p>
    <w:p>
      <w:pPr>
        <w:tabs>
          <w:tab w:val="left" w:pos="1620"/>
        </w:tabs>
        <w:spacing w:line="600" w:lineRule="exact"/>
        <w:ind w:firstLine="1600" w:firstLineChars="500"/>
        <w:rPr>
          <w:rFonts w:ascii="仿宋_GB2312" w:eastAsia="仿宋_GB2312"/>
          <w:sz w:val="32"/>
          <w:szCs w:val="32"/>
        </w:rPr>
      </w:pPr>
      <w:r>
        <w:rPr>
          <w:rFonts w:hint="eastAsia" w:ascii="仿宋_GB2312" w:eastAsia="仿宋_GB2312"/>
          <w:sz w:val="32"/>
          <w:szCs w:val="32"/>
        </w:rPr>
        <w:t>3、山东省省级行政事业国有资产报废审批表（式样）</w:t>
      </w:r>
    </w:p>
    <w:p>
      <w:pPr>
        <w:spacing w:line="600" w:lineRule="exact"/>
        <w:ind w:firstLine="4160" w:firstLineChars="1300"/>
        <w:rPr>
          <w:rFonts w:ascii="仿宋_GB2312" w:eastAsia="仿宋_GB2312"/>
          <w:sz w:val="32"/>
        </w:rPr>
      </w:pPr>
    </w:p>
    <w:p>
      <w:pPr>
        <w:spacing w:line="600" w:lineRule="exact"/>
        <w:rPr>
          <w:rFonts w:ascii="仿宋_GB2312" w:eastAsia="仿宋_GB2312"/>
          <w:sz w:val="32"/>
        </w:rPr>
      </w:pPr>
      <w:r>
        <w:rPr>
          <w:rFonts w:ascii="黑体" w:eastAsia="黑体"/>
          <w:sz w:val="32"/>
        </w:rPr>
        <w:pict>
          <v:line id="_x0000_s1049" o:spid="_x0000_s1049" o:spt="20" style="position:absolute;left:0pt;margin-left:0pt;margin-top:31.2pt;height:0pt;width:451.5pt;z-index:251689984;mso-width-relative:page;mso-height-relative:page;" coordsize="21600,21600">
            <v:path arrowok="t"/>
            <v:fill focussize="0,0"/>
            <v:stroke/>
            <v:imagedata o:title=""/>
            <o:lock v:ext="edit"/>
          </v:line>
        </w:pict>
      </w:r>
      <w:r>
        <w:rPr>
          <w:rFonts w:hint="eastAsia" w:ascii="黑体" w:eastAsia="黑体"/>
          <w:sz w:val="32"/>
        </w:rPr>
        <w:t>主题词：</w:t>
      </w:r>
      <w:r>
        <w:rPr>
          <w:rFonts w:hint="eastAsia"/>
          <w:color w:val="000000"/>
          <w:sz w:val="32"/>
        </w:rPr>
        <w:t>国有资产  处置  办法  印发  通知</w:t>
      </w:r>
    </w:p>
    <w:p>
      <w:pPr>
        <w:spacing w:line="600" w:lineRule="exact"/>
        <w:rPr>
          <w:rFonts w:ascii="仿宋_GB2312" w:eastAsia="仿宋_GB2312"/>
          <w:sz w:val="32"/>
        </w:rPr>
      </w:pPr>
      <w:r>
        <w:rPr>
          <w:rFonts w:hint="eastAsia" w:ascii="仿宋_GB2312" w:eastAsia="仿宋_GB2312"/>
          <w:sz w:val="32"/>
        </w:rPr>
        <w:t xml:space="preserve">信息公开选项: </w:t>
      </w:r>
      <w:r>
        <w:rPr>
          <w:rFonts w:hint="eastAsia" w:ascii="仿宋_GB2312" w:eastAsia="仿宋_GB2312"/>
          <w:color w:val="000000"/>
          <w:sz w:val="32"/>
        </w:rPr>
        <w:t>主动公开。</w:t>
      </w:r>
    </w:p>
    <w:p>
      <w:pPr>
        <w:spacing w:line="600" w:lineRule="exact"/>
        <w:ind w:firstLine="314" w:firstLineChars="157"/>
        <w:rPr>
          <w:rFonts w:ascii="仿宋_GB2312" w:eastAsia="仿宋_GB2312"/>
          <w:sz w:val="32"/>
        </w:rPr>
      </w:pPr>
      <w:r>
        <w:rPr>
          <w:rFonts w:ascii="仿宋_GB2312" w:eastAsia="仿宋_GB2312"/>
          <w:sz w:val="20"/>
        </w:rPr>
        <w:pict>
          <v:line id="_x0000_s1048" o:spid="_x0000_s1048" o:spt="20" style="position:absolute;left:0pt;margin-left:0pt;margin-top:1.2pt;height:0pt;width:451.5pt;z-index:251688960;mso-width-relative:page;mso-height-relative:page;" coordsize="21600,21600">
            <v:path arrowok="t"/>
            <v:fill focussize="0,0"/>
            <v:stroke/>
            <v:imagedata o:title=""/>
            <o:lock v:ext="edit"/>
          </v:line>
        </w:pict>
      </w:r>
      <w:r>
        <w:rPr>
          <w:rFonts w:hint="eastAsia" w:ascii="仿宋_GB2312" w:eastAsia="仿宋_GB2312"/>
          <w:sz w:val="32"/>
        </w:rPr>
        <w:t>抄报：</w:t>
      </w:r>
      <w:r>
        <w:rPr>
          <w:rFonts w:hint="eastAsia" w:ascii="仿宋_GB2312" w:eastAsia="仿宋_GB2312"/>
          <w:color w:val="000000"/>
          <w:sz w:val="32"/>
        </w:rPr>
        <w:t>财政部</w:t>
      </w:r>
    </w:p>
    <w:p>
      <w:pPr>
        <w:spacing w:line="600" w:lineRule="exact"/>
        <w:ind w:firstLine="320" w:firstLineChars="100"/>
        <w:rPr>
          <w:rFonts w:ascii="仿宋_GB2312" w:eastAsia="仿宋_GB2312"/>
          <w:color w:val="000000"/>
          <w:sz w:val="32"/>
        </w:rPr>
      </w:pPr>
      <w:r>
        <w:rPr>
          <w:rFonts w:hint="eastAsia" w:ascii="仿宋_GB2312" w:eastAsia="仿宋_GB2312"/>
          <w:sz w:val="32"/>
        </w:rPr>
        <w:t>抄送：</w:t>
      </w:r>
      <w:r>
        <w:rPr>
          <w:rFonts w:hint="eastAsia" w:ascii="仿宋_GB2312" w:eastAsia="仿宋_GB2312"/>
          <w:color w:val="000000"/>
          <w:sz w:val="32"/>
        </w:rPr>
        <w:t>省监察厅、省审计厅、省公安厅、省国土资源厅、省</w:t>
      </w:r>
    </w:p>
    <w:p>
      <w:pPr>
        <w:spacing w:line="600" w:lineRule="exact"/>
        <w:ind w:firstLine="1280" w:firstLineChars="400"/>
        <w:rPr>
          <w:rFonts w:ascii="仿宋_GB2312" w:eastAsia="仿宋_GB2312"/>
          <w:color w:val="000000"/>
          <w:sz w:val="32"/>
        </w:rPr>
      </w:pPr>
      <w:r>
        <w:rPr>
          <w:rFonts w:hint="eastAsia" w:ascii="仿宋_GB2312" w:eastAsia="仿宋_GB2312"/>
          <w:color w:val="000000"/>
          <w:sz w:val="32"/>
        </w:rPr>
        <w:t>住房城乡建设厅、省工商行政管理局，各市财政局，</w:t>
      </w:r>
    </w:p>
    <w:p>
      <w:pPr>
        <w:spacing w:line="600" w:lineRule="exact"/>
        <w:ind w:firstLine="1280" w:firstLineChars="400"/>
        <w:rPr>
          <w:rFonts w:ascii="仿宋_GB2312" w:eastAsia="仿宋_GB2312"/>
          <w:sz w:val="32"/>
        </w:rPr>
      </w:pPr>
      <w:r>
        <w:rPr>
          <w:rFonts w:hint="eastAsia" w:ascii="仿宋_GB2312" w:eastAsia="仿宋_GB2312"/>
          <w:color w:val="000000"/>
          <w:sz w:val="32"/>
        </w:rPr>
        <w:t>省财政直接管理县（市）财政局。</w:t>
      </w:r>
    </w:p>
    <w:p>
      <w:pPr>
        <w:spacing w:line="600" w:lineRule="exact"/>
        <w:ind w:firstLine="314" w:firstLineChars="157"/>
      </w:pPr>
      <w:r>
        <w:rPr>
          <w:rFonts w:ascii="仿宋_GB2312" w:eastAsia="仿宋_GB2312"/>
          <w:sz w:val="20"/>
        </w:rPr>
        <w:pict>
          <v:line id="_x0000_s1047" o:spid="_x0000_s1047" o:spt="20" style="position:absolute;left:0pt;margin-left:0pt;margin-top:31.2pt;height:0pt;width:451.5pt;z-index:251687936;mso-width-relative:page;mso-height-relative:page;" coordsize="21600,21600">
            <v:path arrowok="t"/>
            <v:fill focussize="0,0"/>
            <v:stroke/>
            <v:imagedata o:title=""/>
            <o:lock v:ext="edit"/>
          </v:line>
        </w:pict>
      </w:r>
      <w:r>
        <w:rPr>
          <w:rFonts w:hint="eastAsia" w:ascii="仿宋_GB2312" w:eastAsia="仿宋_GB2312"/>
          <w:sz w:val="32"/>
        </w:rPr>
        <w:t xml:space="preserve">山东省财政厅办公室              2011年8月26日印发 </w:t>
      </w:r>
    </w:p>
    <w:p>
      <w:pPr>
        <w:tabs>
          <w:tab w:val="left" w:pos="1620"/>
        </w:tabs>
        <w:spacing w:line="600" w:lineRule="exact"/>
        <w:rPr>
          <w:rFonts w:ascii="仿宋_GB2312" w:hAnsi="Calibri" w:eastAsia="宋体" w:cs="Times New Roman"/>
          <w:szCs w:val="32"/>
        </w:rPr>
      </w:pPr>
      <w:r>
        <w:rPr>
          <w:rFonts w:hint="eastAsia" w:ascii="仿宋_GB2312" w:hAnsi="Calibri" w:eastAsia="宋体" w:cs="Times New Roman"/>
          <w:szCs w:val="32"/>
        </w:rPr>
        <w:t>附件1：</w:t>
      </w:r>
    </w:p>
    <w:p>
      <w:pPr>
        <w:tabs>
          <w:tab w:val="left" w:pos="1620"/>
        </w:tabs>
        <w:spacing w:line="600" w:lineRule="exact"/>
        <w:rPr>
          <w:rFonts w:ascii="仿宋_GB2312" w:hAnsi="Calibri" w:eastAsia="宋体" w:cs="Times New Roman"/>
          <w:szCs w:val="32"/>
        </w:rPr>
      </w:pPr>
    </w:p>
    <w:p>
      <w:pPr>
        <w:tabs>
          <w:tab w:val="left" w:pos="1620"/>
        </w:tabs>
        <w:spacing w:line="600" w:lineRule="exact"/>
        <w:jc w:val="center"/>
        <w:rPr>
          <w:rFonts w:ascii="文星简大标宋" w:hAnsi="Calibri" w:eastAsia="文星简大标宋" w:cs="Times New Roman"/>
          <w:sz w:val="44"/>
          <w:szCs w:val="44"/>
        </w:rPr>
      </w:pPr>
      <w:r>
        <w:rPr>
          <w:rFonts w:hint="eastAsia" w:ascii="文星简大标宋" w:hAnsi="Calibri" w:eastAsia="文星简大标宋" w:cs="Times New Roman"/>
          <w:sz w:val="44"/>
          <w:szCs w:val="44"/>
        </w:rPr>
        <w:t>山东省省级行政事业</w:t>
      </w:r>
    </w:p>
    <w:p>
      <w:pPr>
        <w:tabs>
          <w:tab w:val="left" w:pos="1620"/>
        </w:tabs>
        <w:spacing w:line="600" w:lineRule="exact"/>
        <w:jc w:val="center"/>
        <w:rPr>
          <w:rFonts w:ascii="文星简大标宋" w:hAnsi="Calibri" w:eastAsia="文星简大标宋" w:cs="Times New Roman"/>
          <w:sz w:val="44"/>
          <w:szCs w:val="44"/>
        </w:rPr>
      </w:pPr>
      <w:r>
        <w:rPr>
          <w:rFonts w:hint="eastAsia" w:ascii="文星简大标宋" w:hAnsi="Calibri" w:eastAsia="文星简大标宋" w:cs="Times New Roman"/>
          <w:sz w:val="44"/>
          <w:szCs w:val="44"/>
        </w:rPr>
        <w:t>国有资产处置申办资料</w:t>
      </w:r>
    </w:p>
    <w:p>
      <w:pPr>
        <w:tabs>
          <w:tab w:val="left" w:pos="1620"/>
        </w:tabs>
        <w:spacing w:line="600" w:lineRule="exact"/>
        <w:ind w:firstLine="840" w:firstLineChars="400"/>
        <w:rPr>
          <w:rFonts w:ascii="仿宋_GB2312" w:hAnsi="Calibri" w:eastAsia="宋体" w:cs="Times New Roman"/>
          <w:szCs w:val="32"/>
        </w:rPr>
      </w:pPr>
    </w:p>
    <w:p>
      <w:pPr>
        <w:spacing w:line="600" w:lineRule="exact"/>
        <w:rPr>
          <w:rFonts w:ascii="黑体" w:hAnsi="Calibri" w:eastAsia="黑体" w:cs="Times New Roman"/>
          <w:szCs w:val="32"/>
        </w:rPr>
      </w:pPr>
      <w:r>
        <w:rPr>
          <w:rFonts w:hint="eastAsia" w:ascii="黑体" w:hAnsi="Calibri" w:eastAsia="黑体" w:cs="Times New Roman"/>
          <w:szCs w:val="32"/>
        </w:rPr>
        <w:t xml:space="preserve">    一、调拨、捐赠国有资产应提供的资料：</w:t>
      </w:r>
    </w:p>
    <w:p>
      <w:pPr>
        <w:tabs>
          <w:tab w:val="left" w:pos="1620"/>
        </w:tabs>
        <w:spacing w:line="600" w:lineRule="exact"/>
        <w:ind w:firstLine="420" w:firstLineChars="200"/>
        <w:rPr>
          <w:rFonts w:ascii="楷体_GB2312" w:hAnsi="Calibri" w:eastAsia="楷体_GB2312" w:cs="Times New Roman"/>
          <w:szCs w:val="32"/>
        </w:rPr>
      </w:pPr>
      <w:r>
        <w:rPr>
          <w:rFonts w:hint="eastAsia" w:ascii="楷体_GB2312" w:hAnsi="Calibri" w:eastAsia="楷体_GB2312" w:cs="Times New Roman"/>
          <w:szCs w:val="32"/>
        </w:rPr>
        <w:t>（一）省级单位之间调拨：</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1、《山东省省级行政事业国有资产调拨审批表》；</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2、调出单位调出资产的原因以及对本单位财务状况和业务活动影响情况说明；</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3、调出单位内部决议或有关部门批准的文件；</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4、房屋所有权证、土地使用权证、</w:t>
      </w:r>
      <w:r>
        <w:rPr>
          <w:rFonts w:ascii="Calibri" w:hAnsi="Calibri" w:eastAsia="宋体" w:cs="Times New Roman"/>
          <w:szCs w:val="32"/>
        </w:rPr>
        <w:t>机</w:t>
      </w:r>
      <w:r>
        <w:rPr>
          <w:rFonts w:hint="eastAsia" w:ascii="Calibri" w:hAnsi="Calibri" w:eastAsia="宋体" w:cs="Times New Roman"/>
          <w:szCs w:val="32"/>
        </w:rPr>
        <w:t>动车</w:t>
      </w:r>
      <w:r>
        <w:rPr>
          <w:rFonts w:hint="eastAsia" w:ascii="仿宋_GB2312" w:hAnsi="Calibri" w:eastAsia="宋体" w:cs="Times New Roman"/>
          <w:szCs w:val="32"/>
        </w:rPr>
        <w:t>行驶证等资产产权证明的复印件（加盖单位公章），没有取得资产产权证明的，需由当地政府或有关部门出具产权所属证明；</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5、资产处置事项审批需要的其他相关资料。</w:t>
      </w:r>
    </w:p>
    <w:p>
      <w:pPr>
        <w:tabs>
          <w:tab w:val="left" w:pos="1620"/>
        </w:tabs>
        <w:spacing w:line="600" w:lineRule="exact"/>
        <w:ind w:firstLine="420" w:firstLineChars="200"/>
        <w:rPr>
          <w:rFonts w:ascii="楷体_GB2312" w:hAnsi="Calibri" w:eastAsia="楷体_GB2312" w:cs="Times New Roman"/>
          <w:szCs w:val="32"/>
        </w:rPr>
      </w:pPr>
      <w:r>
        <w:rPr>
          <w:rFonts w:hint="eastAsia" w:ascii="楷体_GB2312" w:hAnsi="Calibri" w:eastAsia="楷体_GB2312" w:cs="Times New Roman"/>
          <w:szCs w:val="32"/>
        </w:rPr>
        <w:t>（二）不同预算级次之间调拨、捐赠：</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1、主管部门正式公文，内容应包括调出（捐赠）单位调出（捐赠）资产的原因、对本单位财务状况和业务活动影响情况，主管部门审核意见等；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 xml:space="preserve">2、调出、调入单位申请报告； </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3、调出单位内部决议或有关部门批准的文件；</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4、房屋所有权证、土地使用权证、</w:t>
      </w:r>
      <w:r>
        <w:rPr>
          <w:rFonts w:ascii="Calibri" w:hAnsi="Calibri" w:eastAsia="宋体" w:cs="Times New Roman"/>
          <w:szCs w:val="32"/>
        </w:rPr>
        <w:t>机</w:t>
      </w:r>
      <w:r>
        <w:rPr>
          <w:rFonts w:hint="eastAsia" w:ascii="Calibri" w:hAnsi="Calibri" w:eastAsia="宋体" w:cs="Times New Roman"/>
          <w:szCs w:val="32"/>
        </w:rPr>
        <w:t>动车</w:t>
      </w:r>
      <w:r>
        <w:rPr>
          <w:rFonts w:hint="eastAsia" w:ascii="仿宋_GB2312" w:hAnsi="Calibri" w:eastAsia="宋体" w:cs="Times New Roman"/>
          <w:szCs w:val="32"/>
        </w:rPr>
        <w:t>行驶证等资产产权证明的复印件（加盖单位公章），没有取得资产产权证明的，需由当地政府或有关部门出具产权所属证明；</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5、资产处置事项审批需要的其他相关资料。</w:t>
      </w:r>
    </w:p>
    <w:p>
      <w:pPr>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二、报废国有资产应提供的资料：</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 xml:space="preserve">（一）《山东省省级行政事业国有资产报废审批表》； </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 xml:space="preserve">（二）资产报废的原因及情况说明； </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（三）单位关于报废资产的内部决议；</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四）报废资产的有关规定或者有效证明，如政府或者相关职能部门强制淘汰、强制报废的有关文件、证明、规定或者报废标准；有关职能机构出具的资产报废专业技术鉴定证明或者专家鉴定意见；主管部门组织的内部专业技术人员鉴定意见等；</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（五）房屋所有权证、土地使用权证、</w:t>
      </w:r>
      <w:r>
        <w:rPr>
          <w:rFonts w:ascii="Calibri" w:hAnsi="Calibri" w:eastAsia="宋体" w:cs="Times New Roman"/>
          <w:szCs w:val="32"/>
        </w:rPr>
        <w:t>机</w:t>
      </w:r>
      <w:r>
        <w:rPr>
          <w:rFonts w:hint="eastAsia" w:ascii="Calibri" w:hAnsi="Calibri" w:eastAsia="宋体" w:cs="Times New Roman"/>
          <w:szCs w:val="32"/>
        </w:rPr>
        <w:t>动车</w:t>
      </w:r>
      <w:r>
        <w:rPr>
          <w:rFonts w:hint="eastAsia" w:ascii="仿宋_GB2312" w:hAnsi="Calibri" w:eastAsia="宋体" w:cs="Times New Roman"/>
          <w:szCs w:val="32"/>
        </w:rPr>
        <w:t>行驶证等资产产权证明的复印件（加盖单位公章）；没有取得资产产权证明的，需由当地政府或有关部门出具产权所属证明；</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（六）资产处置事项审批需要的其他相关资料。</w:t>
      </w:r>
    </w:p>
    <w:p>
      <w:pPr>
        <w:tabs>
          <w:tab w:val="left" w:pos="1620"/>
        </w:tabs>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三、股权划转应提供的资料：</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（一）主管部门正式公文，内容应包括所属单位拟划转股权的形成情况、划转的原因、接受方的情况、主管部门审核意见等；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（二）投资企业同意划转股权的股东会决议以及近期财务报表、企业法人营业执照等；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（三）股权证等股权证明的复印件（加盖单位公章）</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（四）资产处置事项审批需要的其他相关资料。</w:t>
      </w:r>
    </w:p>
    <w:p>
      <w:pPr>
        <w:tabs>
          <w:tab w:val="left" w:pos="1620"/>
          <w:tab w:val="right" w:pos="9127"/>
        </w:tabs>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四、有偿转让国有资产（股权）应提供的资料：</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（一）主管部门正式公文，内容应包括所属单位拟有偿转让资产状况的说明、有偿转让的原因、拟申请转让的方式、主管部门审核意见等；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（二）转让对外投资股权的，提供投资企业同意转让股权的股东会决议以及近期财务报表、企业法人营业执照等；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（三）拟采取协议方式转让的，提供协议或者合同草案；</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（四）房屋所有权证、土地使用权证、</w:t>
      </w:r>
      <w:r>
        <w:rPr>
          <w:rFonts w:ascii="Calibri" w:hAnsi="Calibri" w:eastAsia="宋体" w:cs="Times New Roman"/>
          <w:szCs w:val="32"/>
        </w:rPr>
        <w:t>机</w:t>
      </w:r>
      <w:r>
        <w:rPr>
          <w:rFonts w:hint="eastAsia" w:ascii="Calibri" w:hAnsi="Calibri" w:eastAsia="宋体" w:cs="Times New Roman"/>
          <w:szCs w:val="32"/>
        </w:rPr>
        <w:t>动车</w:t>
      </w:r>
      <w:r>
        <w:rPr>
          <w:rFonts w:hint="eastAsia" w:ascii="仿宋_GB2312" w:hAnsi="Calibri" w:eastAsia="宋体" w:cs="Times New Roman"/>
          <w:szCs w:val="32"/>
        </w:rPr>
        <w:t xml:space="preserve">行驶证、股权证等资产产权证明的复印件（加盖单位公章）；没有取得资产产权证明的，需由当地政府或有关部门出具产权所属证明； </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（五）资产处置事项审批需要的其他相关资料。</w:t>
      </w:r>
    </w:p>
    <w:p>
      <w:pPr>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五、报损国有资产（实物）应提供的资料：</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（一）主管部门正式公文，内容应包括所属单位资产报损的原因、保险理赔或责任方赔偿情况、对相关责任人的处理意见、主管部门审核意见等；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二）资产报损的有效证明，如政府市政规划方案、依法收回文件、拆迁通知书、拆迁补偿协议书等；政法机关、行政执法机关判决书、没收证明，法定仲裁机构仲裁书；有关职能机构出具的证明、文件、专家鉴定意见等；</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（三）涉及保险理赔的理赔凭证；责任方赔偿或者补偿协议及赔偿或者补偿凭证；</w:t>
      </w:r>
    </w:p>
    <w:p>
      <w:pPr>
        <w:spacing w:line="600" w:lineRule="exact"/>
        <w:ind w:firstLine="420" w:firstLineChars="200"/>
        <w:rPr>
          <w:rFonts w:ascii="仿宋_GB2312" w:hAnsi="Calibri" w:eastAsia="宋体" w:cs="Times New Roman"/>
          <w:color w:val="000000"/>
          <w:kern w:val="0"/>
          <w:szCs w:val="32"/>
        </w:rPr>
      </w:pPr>
      <w:r>
        <w:rPr>
          <w:rFonts w:hint="eastAsia" w:ascii="仿宋_GB2312" w:hAnsi="Calibri" w:eastAsia="宋体" w:cs="Times New Roman"/>
          <w:szCs w:val="32"/>
        </w:rPr>
        <w:t>（四）</w:t>
      </w:r>
      <w:r>
        <w:rPr>
          <w:rFonts w:hint="eastAsia" w:ascii="仿宋_GB2312" w:hAnsi="Calibri" w:eastAsia="宋体" w:cs="Times New Roman"/>
          <w:color w:val="000000"/>
          <w:kern w:val="0"/>
          <w:szCs w:val="32"/>
        </w:rPr>
        <w:t>对相关责任人的处理决定；</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color w:val="000000"/>
          <w:kern w:val="0"/>
          <w:szCs w:val="32"/>
        </w:rPr>
        <w:t>（五）</w:t>
      </w:r>
      <w:r>
        <w:rPr>
          <w:rFonts w:hint="eastAsia" w:ascii="仿宋_GB2312" w:hAnsi="Calibri" w:eastAsia="宋体" w:cs="Times New Roman"/>
          <w:szCs w:val="32"/>
        </w:rPr>
        <w:t>房屋所有权证、土地使用权证、</w:t>
      </w:r>
      <w:r>
        <w:rPr>
          <w:rFonts w:ascii="仿宋_GB2312" w:hAnsi="Calibri" w:eastAsia="宋体" w:cs="Times New Roman"/>
          <w:szCs w:val="32"/>
        </w:rPr>
        <w:t>机</w:t>
      </w:r>
      <w:r>
        <w:rPr>
          <w:rFonts w:hint="eastAsia" w:ascii="仿宋_GB2312" w:hAnsi="Calibri" w:eastAsia="宋体" w:cs="Times New Roman"/>
          <w:szCs w:val="32"/>
        </w:rPr>
        <w:t>动车行驶证等资产产权证明的复印件（加盖单位公章）；没有取得资产产权证明的，需由当地政府或有关部门出具产权所属证明；</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（六）资产处置事项审批需要的其他相关资料。</w:t>
      </w:r>
    </w:p>
    <w:p>
      <w:pPr>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六、报损国有资产（非实物）应提供的资料：</w:t>
      </w:r>
    </w:p>
    <w:p>
      <w:pPr>
        <w:spacing w:line="600" w:lineRule="exact"/>
        <w:ind w:firstLine="420" w:firstLineChars="200"/>
        <w:rPr>
          <w:rFonts w:ascii="楷体_GB2312" w:hAnsi="Calibri" w:eastAsia="楷体_GB2312" w:cs="Times New Roman"/>
          <w:szCs w:val="32"/>
        </w:rPr>
      </w:pPr>
      <w:r>
        <w:rPr>
          <w:rFonts w:hint="eastAsia" w:ascii="楷体_GB2312" w:hAnsi="Calibri" w:eastAsia="楷体_GB2312" w:cs="Times New Roman"/>
          <w:szCs w:val="32"/>
        </w:rPr>
        <w:t>（一）对外投资损失</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1、主管部门正式公文，内容应包括所属单位该项对外投资的初始情况、投资企业近几年的经营状况、损失原因、主管部门审核意见等；</w:t>
      </w:r>
    </w:p>
    <w:p>
      <w:pPr>
        <w:autoSpaceDE w:val="0"/>
        <w:autoSpaceDN w:val="0"/>
        <w:adjustRightInd w:val="0"/>
        <w:snapToGrid w:val="0"/>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2、投资企业依法破产或者被依法停止经营的法律文书及工商登记注销证明；</w:t>
      </w:r>
    </w:p>
    <w:p>
      <w:pPr>
        <w:autoSpaceDE w:val="0"/>
        <w:autoSpaceDN w:val="0"/>
        <w:adjustRightInd w:val="0"/>
        <w:snapToGrid w:val="0"/>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3、投资企业清算报告；</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4、资产处置事项审批需要的其他相关资料。</w:t>
      </w:r>
    </w:p>
    <w:p>
      <w:pPr>
        <w:spacing w:line="600" w:lineRule="exact"/>
        <w:ind w:firstLine="420" w:firstLineChars="200"/>
        <w:rPr>
          <w:rFonts w:ascii="楷体_GB2312" w:hAnsi="Calibri" w:eastAsia="楷体_GB2312" w:cs="Times New Roman"/>
          <w:szCs w:val="32"/>
        </w:rPr>
      </w:pPr>
      <w:r>
        <w:rPr>
          <w:rFonts w:hint="eastAsia" w:ascii="楷体_GB2312" w:hAnsi="Calibri" w:eastAsia="楷体_GB2312" w:cs="Times New Roman"/>
          <w:szCs w:val="32"/>
        </w:rPr>
        <w:t>（二）货币性资产损失</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1、主管部门正式公文，内容应包括所属单位货币性资产损失发生的情况说明、损失原因、追缴情况、主管部门审核意见等；</w:t>
      </w:r>
    </w:p>
    <w:p>
      <w:pPr>
        <w:autoSpaceDE w:val="0"/>
        <w:autoSpaceDN w:val="0"/>
        <w:adjustRightInd w:val="0"/>
        <w:snapToGrid w:val="0"/>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2、债务人被依法破产、撤销、关闭的法律文书、文件、证明和工商登记注销证明及清算报告等；</w:t>
      </w:r>
    </w:p>
    <w:p>
      <w:pPr>
        <w:autoSpaceDE w:val="0"/>
        <w:autoSpaceDN w:val="0"/>
        <w:adjustRightInd w:val="0"/>
        <w:snapToGrid w:val="0"/>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3、债务人死亡或者依法被宣告失踪、死亡的，其财产或者遗产不足清偿的法律文件；</w:t>
      </w:r>
    </w:p>
    <w:p>
      <w:pPr>
        <w:autoSpaceDE w:val="0"/>
        <w:autoSpaceDN w:val="0"/>
        <w:adjustRightInd w:val="0"/>
        <w:snapToGrid w:val="0"/>
        <w:spacing w:line="600" w:lineRule="exact"/>
        <w:ind w:firstLine="420" w:firstLineChars="200"/>
        <w:rPr>
          <w:rFonts w:ascii="仿宋_GB2312" w:hAnsi="Calibri" w:eastAsia="宋体" w:cs="Times New Roman"/>
          <w:color w:val="000000"/>
          <w:szCs w:val="32"/>
        </w:rPr>
      </w:pPr>
      <w:r>
        <w:rPr>
          <w:rFonts w:hint="eastAsia" w:ascii="仿宋_GB2312" w:hAnsi="Calibri" w:eastAsia="宋体" w:cs="Times New Roman"/>
          <w:color w:val="000000"/>
          <w:szCs w:val="32"/>
          <w:lang w:val="zh-CN"/>
        </w:rPr>
        <w:t>4、涉及诉讼的，法院判决、裁定本单位败诉，或者虽胜诉但被裁定终止执</w:t>
      </w:r>
      <w:r>
        <w:rPr>
          <w:rFonts w:hint="eastAsia" w:ascii="仿宋_GB2312" w:hAnsi="Calibri" w:eastAsia="宋体" w:cs="Times New Roman"/>
          <w:color w:val="000000"/>
          <w:szCs w:val="32"/>
        </w:rPr>
        <w:t>行的法律文书；</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5、被盗、被骗、被挪用等，提供公检法机关出具的确已无法追回的法律文书及对相关责任人的处理决定；</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6、资产处置事项审批需要的其他相关资料。</w:t>
      </w:r>
    </w:p>
    <w:p>
      <w:pPr>
        <w:spacing w:line="600" w:lineRule="exact"/>
        <w:ind w:firstLine="420" w:firstLineChars="200"/>
        <w:rPr>
          <w:rFonts w:ascii="楷体_GB2312" w:hAnsi="Calibri" w:eastAsia="楷体_GB2312" w:cs="Times New Roman"/>
          <w:szCs w:val="32"/>
        </w:rPr>
      </w:pPr>
      <w:r>
        <w:rPr>
          <w:rFonts w:hint="eastAsia" w:ascii="楷体_GB2312" w:hAnsi="Calibri" w:eastAsia="楷体_GB2312" w:cs="Times New Roman"/>
          <w:szCs w:val="32"/>
        </w:rPr>
        <w:t>（三）无形资产损失</w:t>
      </w:r>
    </w:p>
    <w:p>
      <w:pPr>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1、</w:t>
      </w:r>
      <w:r>
        <w:rPr>
          <w:rFonts w:hint="eastAsia" w:ascii="仿宋_GB2312" w:hAnsi="Calibri" w:eastAsia="宋体" w:cs="Times New Roman"/>
          <w:szCs w:val="32"/>
        </w:rPr>
        <w:t>主管部门正式公文，内容</w:t>
      </w:r>
      <w:r>
        <w:rPr>
          <w:rFonts w:hint="eastAsia" w:ascii="仿宋_GB2312" w:hAnsi="Calibri" w:eastAsia="宋体" w:cs="Times New Roman"/>
          <w:color w:val="000000"/>
          <w:szCs w:val="32"/>
          <w:lang w:val="zh-CN"/>
        </w:rPr>
        <w:t>应包括所属单位取得无形资产及损失情况的说明、</w:t>
      </w:r>
      <w:r>
        <w:rPr>
          <w:rFonts w:hint="eastAsia" w:ascii="仿宋_GB2312" w:hAnsi="Calibri" w:eastAsia="宋体" w:cs="Times New Roman"/>
          <w:szCs w:val="32"/>
        </w:rPr>
        <w:t>主管部门审核意见等</w:t>
      </w:r>
      <w:r>
        <w:rPr>
          <w:rFonts w:hint="eastAsia" w:ascii="仿宋_GB2312" w:hAnsi="Calibri" w:eastAsia="宋体" w:cs="Times New Roman"/>
          <w:color w:val="000000"/>
          <w:szCs w:val="32"/>
          <w:lang w:val="zh-CN"/>
        </w:rPr>
        <w:t>；</w:t>
      </w:r>
    </w:p>
    <w:p>
      <w:pPr>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2、有关机构的专业技术鉴定报告；</w:t>
      </w:r>
    </w:p>
    <w:p>
      <w:pPr>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3、超出法律保护期限的证明文件；</w:t>
      </w:r>
    </w:p>
    <w:p>
      <w:pPr>
        <w:spacing w:line="600" w:lineRule="exact"/>
        <w:ind w:firstLine="420" w:firstLineChars="200"/>
        <w:rPr>
          <w:rFonts w:ascii="仿宋_GB2312" w:hAnsi="Calibri" w:eastAsia="宋体" w:cs="Times New Roman"/>
          <w:color w:val="000000"/>
          <w:szCs w:val="32"/>
          <w:lang w:val="zh-CN"/>
        </w:rPr>
      </w:pPr>
      <w:r>
        <w:rPr>
          <w:rFonts w:hint="eastAsia" w:ascii="仿宋_GB2312" w:hAnsi="Calibri" w:eastAsia="宋体" w:cs="Times New Roman"/>
          <w:color w:val="000000"/>
          <w:szCs w:val="32"/>
          <w:lang w:val="zh-CN"/>
        </w:rPr>
        <w:t>4、</w:t>
      </w:r>
      <w:r>
        <w:rPr>
          <w:rFonts w:hint="eastAsia" w:ascii="仿宋_GB2312" w:hAnsi="Calibri" w:eastAsia="宋体" w:cs="Times New Roman"/>
          <w:szCs w:val="32"/>
        </w:rPr>
        <w:t>资产处置事项审批需要的其他相关资料</w:t>
      </w:r>
      <w:r>
        <w:rPr>
          <w:rFonts w:hint="eastAsia" w:ascii="仿宋_GB2312" w:hAnsi="Calibri" w:eastAsia="宋体" w:cs="Times New Roman"/>
          <w:color w:val="000000"/>
          <w:szCs w:val="32"/>
          <w:lang w:val="zh-CN"/>
        </w:rPr>
        <w:t>。</w:t>
      </w:r>
    </w:p>
    <w:p>
      <w:pPr>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七、置换国有资产应提供的资料：</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（一）主管部门正式公文，内容应包括所属单位置换资产的原因、双方拟置换资产的详细情况、主管部门审核意见等；</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（二）以非货币性资产抵顶债权债务的，提供债权债务协议、相关凭证、期末资产负债表和相关明细表；</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（三）当地政府承诺文件、草签的置换协议或者合同草案；</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（四）双方拟置换资产产权证明，如房屋所有权证、土地使用权证、</w:t>
      </w:r>
      <w:r>
        <w:rPr>
          <w:rFonts w:ascii="Calibri" w:hAnsi="Calibri" w:eastAsia="宋体" w:cs="Times New Roman"/>
          <w:szCs w:val="32"/>
        </w:rPr>
        <w:t>机</w:t>
      </w:r>
      <w:r>
        <w:rPr>
          <w:rFonts w:hint="eastAsia" w:ascii="Calibri" w:hAnsi="Calibri" w:eastAsia="宋体" w:cs="Times New Roman"/>
          <w:szCs w:val="32"/>
        </w:rPr>
        <w:t>动车</w:t>
      </w:r>
      <w:r>
        <w:rPr>
          <w:rFonts w:hint="eastAsia" w:ascii="仿宋_GB2312" w:hAnsi="Calibri" w:eastAsia="宋体" w:cs="Times New Roman"/>
          <w:szCs w:val="32"/>
        </w:rPr>
        <w:t>行驶证、股权证等资料的复印件（加盖单位公章）；没有取得资产产权证明的，需由当地政府或有关部门出具产权所属证明；</w:t>
      </w:r>
    </w:p>
    <w:p>
      <w:pPr>
        <w:tabs>
          <w:tab w:val="left" w:pos="1620"/>
        </w:tabs>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（五）对方单位法人证书或营业执照复印件（加盖单位公章）；</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（六）资产处置事项审批需要的其他相关资料。</w:t>
      </w:r>
    </w:p>
    <w:p>
      <w:pPr>
        <w:spacing w:line="600" w:lineRule="exact"/>
        <w:ind w:firstLine="420" w:firstLineChars="200"/>
        <w:rPr>
          <w:rFonts w:ascii="黑体" w:hAnsi="Calibri" w:eastAsia="黑体" w:cs="Times New Roman"/>
          <w:szCs w:val="32"/>
        </w:rPr>
      </w:pPr>
      <w:r>
        <w:rPr>
          <w:rFonts w:hint="eastAsia" w:ascii="黑体" w:hAnsi="Calibri" w:eastAsia="黑体" w:cs="Times New Roman"/>
          <w:szCs w:val="32"/>
        </w:rPr>
        <w:t>八、因撤销、合并、分立、隶属关系改变等原因进行国有资产整体处置应提供的资料：</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（一）主管部门正式公文，内容应包括需整体处置资产单位的基本概况、处置资产的依据、资产清查结果等内容；</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（二）政府或有关部门批准的撤销、合并、分立、隶属关系改变等文件；</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（三）财务审计报告；</w:t>
      </w:r>
    </w:p>
    <w:p>
      <w:pPr>
        <w:spacing w:line="600" w:lineRule="exact"/>
        <w:ind w:firstLine="420" w:firstLineChars="200"/>
        <w:rPr>
          <w:rFonts w:ascii="仿宋_GB2312" w:hAnsi="Calibri" w:eastAsia="宋体" w:cs="Times New Roman"/>
          <w:szCs w:val="32"/>
        </w:rPr>
      </w:pPr>
      <w:r>
        <w:rPr>
          <w:rFonts w:hint="eastAsia" w:ascii="仿宋_GB2312" w:hAnsi="Calibri" w:eastAsia="宋体" w:cs="Times New Roman"/>
          <w:szCs w:val="32"/>
        </w:rPr>
        <w:t>（四）资产处置事项审批需要的其他相关资料。</w:t>
      </w: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p>
      <w:pPr>
        <w:spacing w:line="600" w:lineRule="exact"/>
        <w:ind w:firstLine="420" w:firstLineChars="200"/>
        <w:rPr>
          <w:rFonts w:ascii="仿宋_GB2312" w:hAnsi="Calibri" w:eastAsia="宋体" w:cs="Times New Roman"/>
          <w:szCs w:val="32"/>
        </w:rPr>
      </w:pPr>
    </w:p>
    <w:tbl>
      <w:tblPr>
        <w:tblStyle w:val="14"/>
        <w:tblW w:w="16020" w:type="dxa"/>
        <w:tblInd w:w="87" w:type="dxa"/>
        <w:tblLayout w:type="autofit"/>
        <w:tblCellMar>
          <w:top w:w="0" w:type="dxa"/>
          <w:left w:w="108" w:type="dxa"/>
          <w:bottom w:w="0" w:type="dxa"/>
          <w:right w:w="108" w:type="dxa"/>
        </w:tblCellMar>
      </w:tblPr>
      <w:tblGrid>
        <w:gridCol w:w="639"/>
        <w:gridCol w:w="1661"/>
        <w:gridCol w:w="1520"/>
        <w:gridCol w:w="1740"/>
        <w:gridCol w:w="1740"/>
        <w:gridCol w:w="1680"/>
        <w:gridCol w:w="1520"/>
        <w:gridCol w:w="3020"/>
        <w:gridCol w:w="2500"/>
      </w:tblGrid>
      <w:tr>
        <w:tblPrEx>
          <w:tblCellMar>
            <w:top w:w="0" w:type="dxa"/>
            <w:left w:w="108" w:type="dxa"/>
            <w:bottom w:w="0" w:type="dxa"/>
            <w:right w:w="108" w:type="dxa"/>
          </w:tblCellMar>
        </w:tblPrEx>
        <w:trPr>
          <w:trHeight w:val="405" w:hRule="atLeast"/>
        </w:trPr>
        <w:tc>
          <w:tcPr>
            <w:tcW w:w="2300" w:type="dxa"/>
            <w:gridSpan w:val="2"/>
            <w:tcBorders>
              <w:top w:val="nil"/>
              <w:left w:val="nil"/>
              <w:bottom w:val="nil"/>
              <w:right w:val="nil"/>
            </w:tcBorders>
            <w:shd w:val="clear" w:color="auto" w:fill="auto"/>
            <w:noWrap/>
            <w:vAlign w:val="center"/>
          </w:tcPr>
          <w:p>
            <w:pPr>
              <w:widowControl/>
              <w:jc w:val="left"/>
              <w:rPr>
                <w:rFonts w:ascii="仿宋_GB2312" w:hAnsi="宋体" w:eastAsia="仿宋_GB2312" w:cs="宋体"/>
                <w:kern w:val="0"/>
                <w:sz w:val="28"/>
                <w:szCs w:val="28"/>
              </w:rPr>
            </w:pPr>
            <w:r>
              <w:rPr>
                <w:rFonts w:hint="eastAsia" w:ascii="仿宋_GB2312" w:hAnsi="宋体" w:eastAsia="仿宋_GB2312" w:cs="宋体"/>
                <w:kern w:val="0"/>
                <w:sz w:val="28"/>
                <w:szCs w:val="28"/>
              </w:rPr>
              <w:t>附件2：</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8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25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480" w:hRule="atLeast"/>
        </w:trPr>
        <w:tc>
          <w:tcPr>
            <w:tcW w:w="16020" w:type="dxa"/>
            <w:gridSpan w:val="9"/>
            <w:tcBorders>
              <w:top w:val="nil"/>
              <w:left w:val="nil"/>
              <w:bottom w:val="nil"/>
              <w:right w:val="nil"/>
            </w:tcBorders>
            <w:shd w:val="clear" w:color="auto" w:fill="auto"/>
            <w:noWrap/>
          </w:tcPr>
          <w:p>
            <w:pPr>
              <w:widowControl/>
              <w:jc w:val="center"/>
              <w:rPr>
                <w:rFonts w:hint="eastAsia" w:ascii="文星简大标宋" w:hAnsi="文星简大标宋" w:eastAsia="宋体" w:cs="宋体"/>
                <w:kern w:val="0"/>
                <w:sz w:val="36"/>
                <w:szCs w:val="36"/>
              </w:rPr>
            </w:pPr>
            <w:r>
              <w:rPr>
                <w:rFonts w:ascii="文星简大标宋" w:hAnsi="文星简大标宋" w:eastAsia="宋体" w:cs="宋体"/>
                <w:kern w:val="0"/>
                <w:sz w:val="36"/>
                <w:szCs w:val="36"/>
              </w:rPr>
              <w:t>山东省省级行政事业国有资产调拨审批表（式样）</w:t>
            </w:r>
          </w:p>
        </w:tc>
      </w:tr>
      <w:tr>
        <w:tblPrEx>
          <w:tblCellMar>
            <w:top w:w="0" w:type="dxa"/>
            <w:left w:w="108" w:type="dxa"/>
            <w:bottom w:w="0" w:type="dxa"/>
            <w:right w:w="108" w:type="dxa"/>
          </w:tblCellMar>
        </w:tblPrEx>
        <w:trPr>
          <w:trHeight w:val="360" w:hRule="atLeast"/>
        </w:trPr>
        <w:tc>
          <w:tcPr>
            <w:tcW w:w="639"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661"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68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2500" w:type="dxa"/>
            <w:tcBorders>
              <w:top w:val="nil"/>
              <w:left w:val="nil"/>
              <w:bottom w:val="single" w:color="auto" w:sz="4" w:space="0"/>
              <w:right w:val="nil"/>
            </w:tcBorders>
            <w:shd w:val="clear" w:color="auto" w:fill="auto"/>
            <w:noWrap/>
          </w:tcPr>
          <w:p>
            <w:pPr>
              <w:widowControl/>
              <w:jc w:val="right"/>
              <w:rPr>
                <w:rFonts w:ascii="仿宋_GB2312" w:hAnsi="宋体" w:eastAsia="仿宋_GB2312" w:cs="宋体"/>
                <w:kern w:val="0"/>
                <w:sz w:val="22"/>
                <w:szCs w:val="22"/>
              </w:rPr>
            </w:pPr>
            <w:r>
              <w:rPr>
                <w:rFonts w:hint="eastAsia" w:ascii="仿宋_GB2312" w:hAnsi="宋体" w:eastAsia="仿宋_GB2312" w:cs="宋体"/>
                <w:kern w:val="0"/>
                <w:sz w:val="22"/>
                <w:szCs w:val="22"/>
              </w:rPr>
              <w:t>金额单位：元</w:t>
            </w:r>
          </w:p>
        </w:tc>
      </w:tr>
      <w:tr>
        <w:tblPrEx>
          <w:tblCellMar>
            <w:top w:w="0" w:type="dxa"/>
            <w:left w:w="108" w:type="dxa"/>
            <w:bottom w:w="0" w:type="dxa"/>
            <w:right w:w="108" w:type="dxa"/>
          </w:tblCellMar>
        </w:tblPrEx>
        <w:trPr>
          <w:trHeight w:val="855" w:hRule="atLeast"/>
        </w:trPr>
        <w:tc>
          <w:tcPr>
            <w:tcW w:w="6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序号</w:t>
            </w:r>
          </w:p>
        </w:tc>
        <w:tc>
          <w:tcPr>
            <w:tcW w:w="16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资产名称</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规格型号</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购建时间</w:t>
            </w:r>
          </w:p>
        </w:tc>
        <w:tc>
          <w:tcPr>
            <w:tcW w:w="1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数量（台、辆、平方米等）</w:t>
            </w:r>
          </w:p>
        </w:tc>
        <w:tc>
          <w:tcPr>
            <w:tcW w:w="1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单价</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账面原值</w:t>
            </w:r>
          </w:p>
        </w:tc>
        <w:tc>
          <w:tcPr>
            <w:tcW w:w="3020" w:type="dxa"/>
            <w:tcBorders>
              <w:top w:val="single" w:color="auto" w:sz="4" w:space="0"/>
              <w:left w:val="nil"/>
              <w:bottom w:val="single" w:color="auto" w:sz="4" w:space="0"/>
              <w:right w:val="nil"/>
            </w:tcBorders>
            <w:shd w:val="clear" w:color="auto" w:fill="auto"/>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权属证号（车辆识别代码或车架号、房屋所有权证号、土地使用证号）</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备注</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375" w:hRule="atLeast"/>
        </w:trPr>
        <w:tc>
          <w:tcPr>
            <w:tcW w:w="8980"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合　　　　　　　　　　计</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375" w:hRule="atLeast"/>
        </w:trPr>
        <w:tc>
          <w:tcPr>
            <w:tcW w:w="2300" w:type="dxa"/>
            <w:gridSpan w:val="2"/>
            <w:tcBorders>
              <w:top w:val="single" w:color="auto" w:sz="4" w:space="0"/>
              <w:left w:val="single" w:color="auto" w:sz="4" w:space="0"/>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调出单位意见</w:t>
            </w:r>
          </w:p>
        </w:tc>
        <w:tc>
          <w:tcPr>
            <w:tcW w:w="3260" w:type="dxa"/>
            <w:gridSpan w:val="2"/>
            <w:tcBorders>
              <w:top w:val="single" w:color="auto" w:sz="4" w:space="0"/>
              <w:left w:val="nil"/>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调出主管部门意见</w:t>
            </w:r>
          </w:p>
        </w:tc>
        <w:tc>
          <w:tcPr>
            <w:tcW w:w="3420" w:type="dxa"/>
            <w:gridSpan w:val="2"/>
            <w:tcBorders>
              <w:top w:val="single" w:color="auto" w:sz="4" w:space="0"/>
              <w:left w:val="nil"/>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调入单位意见</w:t>
            </w:r>
          </w:p>
        </w:tc>
        <w:tc>
          <w:tcPr>
            <w:tcW w:w="4540" w:type="dxa"/>
            <w:gridSpan w:val="2"/>
            <w:tcBorders>
              <w:top w:val="single" w:color="auto" w:sz="4" w:space="0"/>
              <w:left w:val="nil"/>
              <w:bottom w:val="nil"/>
              <w:right w:val="nil"/>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调入主管部门意见</w:t>
            </w:r>
          </w:p>
        </w:tc>
        <w:tc>
          <w:tcPr>
            <w:tcW w:w="2500"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宋体" w:hAnsi="宋体" w:eastAsia="宋体" w:cs="宋体"/>
                <w:kern w:val="0"/>
                <w:sz w:val="24"/>
              </w:rPr>
            </w:pPr>
            <w:r>
              <w:rPr>
                <w:rFonts w:hint="eastAsia" w:ascii="宋体" w:hAnsi="宋体" w:eastAsia="宋体" w:cs="宋体"/>
                <w:kern w:val="0"/>
                <w:sz w:val="24"/>
              </w:rPr>
              <w:t xml:space="preserve"> 财政部门（主管部门）审批意见</w:t>
            </w:r>
          </w:p>
        </w:tc>
      </w:tr>
      <w:tr>
        <w:tblPrEx>
          <w:tblCellMar>
            <w:top w:w="0" w:type="dxa"/>
            <w:left w:w="108" w:type="dxa"/>
            <w:bottom w:w="0" w:type="dxa"/>
            <w:right w:w="108" w:type="dxa"/>
          </w:tblCellMar>
        </w:tblPrEx>
        <w:trPr>
          <w:trHeight w:val="360" w:hRule="atLeast"/>
        </w:trPr>
        <w:tc>
          <w:tcPr>
            <w:tcW w:w="2300" w:type="dxa"/>
            <w:gridSpan w:val="2"/>
            <w:tcBorders>
              <w:top w:val="nil"/>
              <w:left w:val="single" w:color="auto" w:sz="4" w:space="0"/>
              <w:bottom w:val="nil"/>
              <w:right w:val="single" w:color="000000"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168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vMerge w:val="continue"/>
            <w:tcBorders>
              <w:top w:val="nil"/>
              <w:left w:val="single" w:color="auto" w:sz="4" w:space="0"/>
              <w:bottom w:val="nil"/>
              <w:right w:val="single" w:color="auto" w:sz="4" w:space="0"/>
            </w:tcBorders>
            <w:vAlign w:val="center"/>
          </w:tcPr>
          <w:p>
            <w:pPr>
              <w:widowControl/>
              <w:jc w:val="left"/>
              <w:rPr>
                <w:rFonts w:ascii="宋体" w:hAnsi="宋体" w:eastAsia="宋体" w:cs="宋体"/>
                <w:kern w:val="0"/>
                <w:sz w:val="24"/>
              </w:rPr>
            </w:pPr>
          </w:p>
        </w:tc>
      </w:tr>
      <w:tr>
        <w:trPr>
          <w:trHeight w:val="360" w:hRule="atLeast"/>
        </w:trPr>
        <w:tc>
          <w:tcPr>
            <w:tcW w:w="2300" w:type="dxa"/>
            <w:gridSpan w:val="2"/>
            <w:tcBorders>
              <w:top w:val="nil"/>
              <w:left w:val="single" w:color="auto" w:sz="4" w:space="0"/>
              <w:bottom w:val="nil"/>
              <w:right w:val="single" w:color="000000"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3260" w:type="dxa"/>
            <w:gridSpan w:val="2"/>
            <w:tcBorders>
              <w:top w:val="nil"/>
              <w:left w:val="single" w:color="auto" w:sz="4" w:space="0"/>
              <w:bottom w:val="nil"/>
              <w:right w:val="single" w:color="000000"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3420" w:type="dxa"/>
            <w:gridSpan w:val="2"/>
            <w:tcBorders>
              <w:top w:val="nil"/>
              <w:left w:val="single" w:color="auto" w:sz="4" w:space="0"/>
              <w:bottom w:val="nil"/>
              <w:right w:val="single" w:color="000000"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4540"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2500" w:type="dxa"/>
            <w:tcBorders>
              <w:top w:val="nil"/>
              <w:left w:val="single" w:color="auto" w:sz="4" w:space="0"/>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360" w:hRule="atLeast"/>
        </w:trPr>
        <w:tc>
          <w:tcPr>
            <w:tcW w:w="2300" w:type="dxa"/>
            <w:gridSpan w:val="2"/>
            <w:tcBorders>
              <w:top w:val="nil"/>
              <w:left w:val="single" w:color="auto" w:sz="4" w:space="0"/>
              <w:bottom w:val="nil"/>
              <w:right w:val="single" w:color="000000"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174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168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tcBorders>
              <w:top w:val="nil"/>
              <w:left w:val="single" w:color="auto" w:sz="4" w:space="0"/>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255" w:hRule="atLeast"/>
        </w:trPr>
        <w:tc>
          <w:tcPr>
            <w:tcW w:w="639"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6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74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8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tcBorders>
              <w:top w:val="nil"/>
              <w:left w:val="single" w:color="auto" w:sz="4" w:space="0"/>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255" w:hRule="atLeast"/>
        </w:trPr>
        <w:tc>
          <w:tcPr>
            <w:tcW w:w="639"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6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74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8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tcBorders>
              <w:top w:val="nil"/>
              <w:left w:val="single" w:color="auto" w:sz="4" w:space="0"/>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255" w:hRule="atLeast"/>
        </w:trPr>
        <w:tc>
          <w:tcPr>
            <w:tcW w:w="639"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6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74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8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tcBorders>
              <w:top w:val="nil"/>
              <w:left w:val="single" w:color="auto" w:sz="4" w:space="0"/>
              <w:bottom w:val="nil"/>
              <w:right w:val="single" w:color="auto" w:sz="4" w:space="0"/>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6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（单位公章）</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（单位公章）</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8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（单位公章）</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20" w:type="dxa"/>
            <w:tcBorders>
              <w:top w:val="nil"/>
              <w:left w:val="nil"/>
              <w:bottom w:val="nil"/>
              <w:right w:val="nil"/>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（单位公章）</w:t>
            </w:r>
          </w:p>
        </w:tc>
        <w:tc>
          <w:tcPr>
            <w:tcW w:w="2500" w:type="dxa"/>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（盖章）</w:t>
            </w:r>
          </w:p>
        </w:tc>
      </w:tr>
      <w:tr>
        <w:tblPrEx>
          <w:tblCellMar>
            <w:top w:w="0" w:type="dxa"/>
            <w:left w:w="108" w:type="dxa"/>
            <w:bottom w:w="0" w:type="dxa"/>
            <w:right w:w="108" w:type="dxa"/>
          </w:tblCellMar>
        </w:tblPrEx>
        <w:trPr>
          <w:trHeight w:val="402" w:hRule="atLeast"/>
        </w:trPr>
        <w:tc>
          <w:tcPr>
            <w:tcW w:w="639" w:type="dxa"/>
            <w:tcBorders>
              <w:top w:val="nil"/>
              <w:left w:val="single" w:color="auto" w:sz="4" w:space="0"/>
              <w:bottom w:val="single" w:color="auto" w:sz="4" w:space="0"/>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年  月   日</w:t>
            </w:r>
          </w:p>
        </w:tc>
        <w:tc>
          <w:tcPr>
            <w:tcW w:w="15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年   月   日</w:t>
            </w:r>
          </w:p>
        </w:tc>
        <w:tc>
          <w:tcPr>
            <w:tcW w:w="174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年   月   日</w:t>
            </w:r>
          </w:p>
        </w:tc>
        <w:tc>
          <w:tcPr>
            <w:tcW w:w="15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年   月   日</w:t>
            </w:r>
          </w:p>
        </w:tc>
        <w:tc>
          <w:tcPr>
            <w:tcW w:w="2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年   月   日</w:t>
            </w:r>
          </w:p>
        </w:tc>
      </w:tr>
      <w:tr>
        <w:tblPrEx>
          <w:tblCellMar>
            <w:top w:w="0" w:type="dxa"/>
            <w:left w:w="108" w:type="dxa"/>
            <w:bottom w:w="0" w:type="dxa"/>
            <w:right w:w="108" w:type="dxa"/>
          </w:tblCellMar>
        </w:tblPrEx>
        <w:trPr>
          <w:trHeight w:val="300" w:hRule="atLeast"/>
        </w:trPr>
        <w:tc>
          <w:tcPr>
            <w:tcW w:w="13520" w:type="dxa"/>
            <w:gridSpan w:val="8"/>
            <w:tcBorders>
              <w:top w:val="nil"/>
              <w:left w:val="nil"/>
              <w:bottom w:val="nil"/>
              <w:right w:val="nil"/>
            </w:tcBorders>
            <w:shd w:val="clear" w:color="auto" w:fill="auto"/>
            <w:noWrap/>
            <w:vAlign w:val="bottom"/>
          </w:tcPr>
          <w:p>
            <w:pPr>
              <w:widowControl/>
              <w:jc w:val="left"/>
              <w:rPr>
                <w:rFonts w:ascii="宋体" w:hAnsi="宋体" w:eastAsia="宋体" w:cs="宋体"/>
                <w:kern w:val="0"/>
                <w:sz w:val="22"/>
                <w:szCs w:val="22"/>
              </w:rPr>
            </w:pPr>
            <w:r>
              <w:rPr>
                <w:rFonts w:hint="eastAsia" w:ascii="宋体" w:hAnsi="宋体" w:eastAsia="宋体" w:cs="宋体"/>
                <w:kern w:val="0"/>
                <w:sz w:val="22"/>
                <w:szCs w:val="22"/>
              </w:rPr>
              <w:t>说明：1、本表一式六联，其中财政部门留存两联；调出、调入主管部门各留存一联；调出、调入单位各留作记账凭证一联。</w:t>
            </w:r>
          </w:p>
        </w:tc>
        <w:tc>
          <w:tcPr>
            <w:tcW w:w="25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r>
      <w:tr>
        <w:tblPrEx>
          <w:tblCellMar>
            <w:top w:w="0" w:type="dxa"/>
            <w:left w:w="108" w:type="dxa"/>
            <w:bottom w:w="0" w:type="dxa"/>
            <w:right w:w="108" w:type="dxa"/>
          </w:tblCellMar>
        </w:tblPrEx>
        <w:trPr>
          <w:trHeight w:val="300" w:hRule="atLeast"/>
        </w:trPr>
        <w:tc>
          <w:tcPr>
            <w:tcW w:w="16020" w:type="dxa"/>
            <w:gridSpan w:val="9"/>
            <w:tcBorders>
              <w:top w:val="nil"/>
              <w:left w:val="nil"/>
              <w:bottom w:val="nil"/>
              <w:right w:val="nil"/>
            </w:tcBorders>
            <w:shd w:val="clear" w:color="auto" w:fill="auto"/>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2、单位申请资产调拨，需同时附报《山东省省级行政事业国有资产处置管理办法》规定的申办材料。</w:t>
            </w:r>
          </w:p>
        </w:tc>
      </w:tr>
      <w:tr>
        <w:tblPrEx>
          <w:tblCellMar>
            <w:top w:w="0" w:type="dxa"/>
            <w:left w:w="108" w:type="dxa"/>
            <w:bottom w:w="0" w:type="dxa"/>
            <w:right w:w="108" w:type="dxa"/>
          </w:tblCellMar>
        </w:tblPrEx>
        <w:trPr>
          <w:trHeight w:val="300" w:hRule="atLeast"/>
        </w:trPr>
        <w:tc>
          <w:tcPr>
            <w:tcW w:w="10500" w:type="dxa"/>
            <w:gridSpan w:val="7"/>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3、本表由申报资产调出单位通过“山东省行政事业资产管理信息系统”填制并打印上报。</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25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r>
      <w:tr>
        <w:tblPrEx>
          <w:tblCellMar>
            <w:top w:w="0" w:type="dxa"/>
            <w:left w:w="108" w:type="dxa"/>
            <w:bottom w:w="0" w:type="dxa"/>
            <w:right w:w="108" w:type="dxa"/>
          </w:tblCellMar>
        </w:tblPrEx>
        <w:trPr>
          <w:trHeight w:val="375" w:hRule="atLeast"/>
        </w:trPr>
        <w:tc>
          <w:tcPr>
            <w:tcW w:w="10500" w:type="dxa"/>
            <w:gridSpan w:val="7"/>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4、同一主管部门所属省级单位之间的调拨，主管部门只需填报“调出主管部门意见”栏。</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25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r>
    </w:tbl>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p>
      <w:pPr>
        <w:spacing w:line="600" w:lineRule="exact"/>
        <w:ind w:firstLine="420" w:firstLineChars="200"/>
        <w:rPr>
          <w:rFonts w:ascii="Calibri" w:hAnsi="Calibri" w:eastAsia="宋体" w:cs="Times New Roman"/>
        </w:rPr>
      </w:pPr>
    </w:p>
    <w:tbl>
      <w:tblPr>
        <w:tblStyle w:val="14"/>
        <w:tblW w:w="15580" w:type="dxa"/>
        <w:tblInd w:w="87" w:type="dxa"/>
        <w:tblLayout w:type="autofit"/>
        <w:tblCellMar>
          <w:top w:w="0" w:type="dxa"/>
          <w:left w:w="108" w:type="dxa"/>
          <w:bottom w:w="0" w:type="dxa"/>
          <w:right w:w="108" w:type="dxa"/>
        </w:tblCellMar>
      </w:tblPr>
      <w:tblGrid>
        <w:gridCol w:w="904"/>
        <w:gridCol w:w="1736"/>
        <w:gridCol w:w="1740"/>
        <w:gridCol w:w="1520"/>
        <w:gridCol w:w="1660"/>
        <w:gridCol w:w="1600"/>
        <w:gridCol w:w="1640"/>
        <w:gridCol w:w="3020"/>
        <w:gridCol w:w="1760"/>
      </w:tblGrid>
      <w:tr>
        <w:tblPrEx>
          <w:tblCellMar>
            <w:top w:w="0" w:type="dxa"/>
            <w:left w:w="108" w:type="dxa"/>
            <w:bottom w:w="0" w:type="dxa"/>
            <w:right w:w="108" w:type="dxa"/>
          </w:tblCellMar>
        </w:tblPrEx>
        <w:trPr>
          <w:trHeight w:val="420" w:hRule="atLeast"/>
        </w:trPr>
        <w:tc>
          <w:tcPr>
            <w:tcW w:w="2640" w:type="dxa"/>
            <w:gridSpan w:val="2"/>
            <w:tcBorders>
              <w:top w:val="nil"/>
              <w:left w:val="nil"/>
              <w:bottom w:val="nil"/>
              <w:right w:val="nil"/>
            </w:tcBorders>
            <w:shd w:val="clear" w:color="auto" w:fill="auto"/>
            <w:noWrap/>
            <w:vAlign w:val="center"/>
          </w:tcPr>
          <w:p>
            <w:pPr>
              <w:widowControl/>
              <w:jc w:val="left"/>
              <w:rPr>
                <w:rFonts w:ascii="仿宋_GB2312" w:hAnsi="宋体" w:eastAsia="仿宋_GB2312" w:cs="宋体"/>
                <w:kern w:val="0"/>
                <w:sz w:val="28"/>
                <w:szCs w:val="28"/>
              </w:rPr>
            </w:pPr>
            <w:r>
              <w:rPr>
                <w:rFonts w:hint="eastAsia" w:ascii="仿宋_GB2312" w:hAnsi="宋体" w:eastAsia="仿宋_GB2312" w:cs="宋体"/>
                <w:kern w:val="0"/>
                <w:sz w:val="28"/>
                <w:szCs w:val="28"/>
              </w:rPr>
              <w:t>附件3：</w:t>
            </w: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645" w:hRule="atLeast"/>
        </w:trPr>
        <w:tc>
          <w:tcPr>
            <w:tcW w:w="15580" w:type="dxa"/>
            <w:gridSpan w:val="9"/>
            <w:tcBorders>
              <w:top w:val="nil"/>
              <w:left w:val="nil"/>
              <w:bottom w:val="nil"/>
              <w:right w:val="nil"/>
            </w:tcBorders>
            <w:shd w:val="clear" w:color="auto" w:fill="auto"/>
            <w:noWrap/>
          </w:tcPr>
          <w:p>
            <w:pPr>
              <w:widowControl/>
              <w:jc w:val="center"/>
              <w:rPr>
                <w:rFonts w:hint="eastAsia" w:ascii="文星简大标宋" w:hAnsi="文星简大标宋" w:eastAsia="宋体" w:cs="宋体"/>
                <w:kern w:val="0"/>
                <w:sz w:val="36"/>
                <w:szCs w:val="36"/>
              </w:rPr>
            </w:pPr>
            <w:r>
              <w:rPr>
                <w:rFonts w:ascii="文星简大标宋" w:hAnsi="文星简大标宋" w:eastAsia="宋体" w:cs="宋体"/>
                <w:kern w:val="0"/>
                <w:sz w:val="36"/>
                <w:szCs w:val="36"/>
              </w:rPr>
              <w:t>山东省省级行政事业国有资产报废审批表（式样）</w:t>
            </w:r>
          </w:p>
        </w:tc>
      </w:tr>
      <w:tr>
        <w:tblPrEx>
          <w:tblCellMar>
            <w:top w:w="0" w:type="dxa"/>
            <w:left w:w="108" w:type="dxa"/>
            <w:bottom w:w="0" w:type="dxa"/>
            <w:right w:w="108" w:type="dxa"/>
          </w:tblCellMar>
        </w:tblPrEx>
        <w:trPr>
          <w:trHeight w:val="390" w:hRule="atLeast"/>
        </w:trPr>
        <w:tc>
          <w:tcPr>
            <w:tcW w:w="90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73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7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6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6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p>
        </w:tc>
        <w:tc>
          <w:tcPr>
            <w:tcW w:w="1760" w:type="dxa"/>
            <w:tcBorders>
              <w:top w:val="nil"/>
              <w:left w:val="nil"/>
              <w:bottom w:val="single" w:color="auto" w:sz="4" w:space="0"/>
              <w:right w:val="nil"/>
            </w:tcBorders>
            <w:shd w:val="clear" w:color="auto" w:fill="auto"/>
            <w:noWrap/>
          </w:tcPr>
          <w:p>
            <w:pPr>
              <w:widowControl/>
              <w:jc w:val="right"/>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855" w:hRule="atLeast"/>
        </w:trPr>
        <w:tc>
          <w:tcPr>
            <w:tcW w:w="9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序号</w:t>
            </w:r>
          </w:p>
        </w:tc>
        <w:tc>
          <w:tcPr>
            <w:tcW w:w="17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资产名称</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规格型号</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购建时间</w:t>
            </w:r>
          </w:p>
        </w:tc>
        <w:tc>
          <w:tcPr>
            <w:tcW w:w="16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数量（台、辆、平方米等）</w:t>
            </w:r>
          </w:p>
        </w:tc>
        <w:tc>
          <w:tcPr>
            <w:tcW w:w="16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单价</w:t>
            </w:r>
          </w:p>
        </w:tc>
        <w:tc>
          <w:tcPr>
            <w:tcW w:w="16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账面原值</w:t>
            </w:r>
          </w:p>
        </w:tc>
        <w:tc>
          <w:tcPr>
            <w:tcW w:w="3020" w:type="dxa"/>
            <w:tcBorders>
              <w:top w:val="single" w:color="auto" w:sz="4" w:space="0"/>
              <w:left w:val="nil"/>
              <w:bottom w:val="single" w:color="auto" w:sz="4" w:space="0"/>
              <w:right w:val="nil"/>
            </w:tcBorders>
            <w:shd w:val="clear" w:color="auto" w:fill="auto"/>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权属证号（车辆识别代码或车架号、房屋所有权证号、土地使用证号）</w:t>
            </w:r>
          </w:p>
        </w:tc>
        <w:tc>
          <w:tcPr>
            <w:tcW w:w="1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备注</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60" w:hRule="atLeast"/>
        </w:trPr>
        <w:tc>
          <w:tcPr>
            <w:tcW w:w="90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0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420" w:hRule="atLeast"/>
        </w:trPr>
        <w:tc>
          <w:tcPr>
            <w:tcW w:w="916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合　　　　　　　　　　计</w:t>
            </w:r>
          </w:p>
        </w:tc>
        <w:tc>
          <w:tcPr>
            <w:tcW w:w="16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w:t>
            </w:r>
          </w:p>
        </w:tc>
        <w:tc>
          <w:tcPr>
            <w:tcW w:w="1760" w:type="dxa"/>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435" w:hRule="atLeast"/>
        </w:trPr>
        <w:tc>
          <w:tcPr>
            <w:tcW w:w="4380" w:type="dxa"/>
            <w:gridSpan w:val="3"/>
            <w:tcBorders>
              <w:top w:val="single" w:color="auto" w:sz="4" w:space="0"/>
              <w:left w:val="single" w:color="auto" w:sz="4" w:space="0"/>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申报单位</w:t>
            </w:r>
          </w:p>
        </w:tc>
        <w:tc>
          <w:tcPr>
            <w:tcW w:w="4780" w:type="dxa"/>
            <w:gridSpan w:val="3"/>
            <w:tcBorders>
              <w:top w:val="single" w:color="auto" w:sz="4" w:space="0"/>
              <w:left w:val="nil"/>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主管部门审核意见</w:t>
            </w:r>
          </w:p>
        </w:tc>
        <w:tc>
          <w:tcPr>
            <w:tcW w:w="4660" w:type="dxa"/>
            <w:gridSpan w:val="2"/>
            <w:tcBorders>
              <w:top w:val="single" w:color="auto" w:sz="4" w:space="0"/>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xml:space="preserve"> 财政部门（主管部门）审批意见：</w:t>
            </w:r>
          </w:p>
        </w:tc>
        <w:tc>
          <w:tcPr>
            <w:tcW w:w="1760" w:type="dxa"/>
            <w:tcBorders>
              <w:top w:val="single" w:color="auto" w:sz="4" w:space="0"/>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00" w:hRule="atLeast"/>
        </w:trPr>
        <w:tc>
          <w:tcPr>
            <w:tcW w:w="2640"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w:t>
            </w: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0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6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300" w:hRule="atLeast"/>
        </w:trPr>
        <w:tc>
          <w:tcPr>
            <w:tcW w:w="2640"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180"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资产管理机构负责人：</w:t>
            </w:r>
          </w:p>
        </w:tc>
        <w:tc>
          <w:tcPr>
            <w:tcW w:w="160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6420" w:type="dxa"/>
            <w:gridSpan w:val="3"/>
            <w:vMerge w:val="restart"/>
            <w:tcBorders>
              <w:top w:val="nil"/>
              <w:left w:val="single" w:color="auto" w:sz="4" w:space="0"/>
              <w:bottom w:val="nil"/>
              <w:right w:val="single" w:color="000000"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资产报废残值收入，全额上缴省级财政国库，纳入财政预算管理。</w:t>
            </w:r>
          </w:p>
        </w:tc>
      </w:tr>
      <w:tr>
        <w:tblPrEx>
          <w:tblCellMar>
            <w:top w:w="0" w:type="dxa"/>
            <w:left w:w="108" w:type="dxa"/>
            <w:bottom w:w="0" w:type="dxa"/>
            <w:right w:w="108" w:type="dxa"/>
          </w:tblCellMar>
        </w:tblPrEx>
        <w:trPr>
          <w:trHeight w:val="300" w:hRule="atLeast"/>
        </w:trPr>
        <w:tc>
          <w:tcPr>
            <w:tcW w:w="2640" w:type="dxa"/>
            <w:gridSpan w:val="2"/>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资产管理人员：</w:t>
            </w: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6420" w:type="dxa"/>
            <w:gridSpan w:val="3"/>
            <w:vMerge w:val="continue"/>
            <w:tcBorders>
              <w:top w:val="nil"/>
              <w:left w:val="nil"/>
              <w:bottom w:val="nil"/>
              <w:right w:val="nil"/>
            </w:tcBorders>
            <w:vAlign w:val="center"/>
          </w:tcPr>
          <w:p>
            <w:pPr>
              <w:widowControl/>
              <w:jc w:val="left"/>
              <w:rPr>
                <w:rFonts w:ascii="宋体" w:hAnsi="宋体" w:eastAsia="宋体" w:cs="宋体"/>
                <w:kern w:val="0"/>
                <w:sz w:val="20"/>
                <w:szCs w:val="20"/>
              </w:rPr>
            </w:pPr>
          </w:p>
        </w:tc>
      </w:tr>
      <w:tr>
        <w:tblPrEx>
          <w:tblCellMar>
            <w:top w:w="0" w:type="dxa"/>
            <w:left w:w="108" w:type="dxa"/>
            <w:bottom w:w="0" w:type="dxa"/>
            <w:right w:w="108" w:type="dxa"/>
          </w:tblCellMar>
        </w:tblPrEx>
        <w:trPr>
          <w:trHeight w:val="330" w:hRule="atLeast"/>
        </w:trPr>
        <w:tc>
          <w:tcPr>
            <w:tcW w:w="904"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0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40"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6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402" w:hRule="atLeast"/>
        </w:trPr>
        <w:tc>
          <w:tcPr>
            <w:tcW w:w="904"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3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4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6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600" w:type="dxa"/>
            <w:tcBorders>
              <w:top w:val="nil"/>
              <w:left w:val="nil"/>
              <w:bottom w:val="nil"/>
              <w:right w:val="nil"/>
            </w:tcBorders>
            <w:shd w:val="clear" w:color="auto" w:fill="auto"/>
            <w:noWrap/>
            <w:vAlign w:val="center"/>
          </w:tcPr>
          <w:p>
            <w:pPr>
              <w:widowControl/>
              <w:jc w:val="center"/>
              <w:rPr>
                <w:rFonts w:ascii="宋体" w:hAnsi="宋体" w:eastAsia="宋体" w:cs="宋体"/>
                <w:kern w:val="0"/>
                <w:sz w:val="24"/>
              </w:rPr>
            </w:pPr>
          </w:p>
        </w:tc>
        <w:tc>
          <w:tcPr>
            <w:tcW w:w="1640"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60" w:type="dxa"/>
            <w:tcBorders>
              <w:top w:val="nil"/>
              <w:left w:val="nil"/>
              <w:bottom w:val="nil"/>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r>
      <w:tr>
        <w:tblPrEx>
          <w:tblCellMar>
            <w:top w:w="0" w:type="dxa"/>
            <w:left w:w="108" w:type="dxa"/>
            <w:bottom w:w="0" w:type="dxa"/>
            <w:right w:w="108" w:type="dxa"/>
          </w:tblCellMar>
        </w:tblPrEx>
        <w:trPr>
          <w:trHeight w:val="402" w:hRule="atLeast"/>
        </w:trPr>
        <w:tc>
          <w:tcPr>
            <w:tcW w:w="904" w:type="dxa"/>
            <w:tcBorders>
              <w:top w:val="nil"/>
              <w:left w:val="single" w:color="auto" w:sz="4" w:space="0"/>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476" w:type="dxa"/>
            <w:gridSpan w:val="2"/>
            <w:tcBorders>
              <w:top w:val="nil"/>
              <w:left w:val="nil"/>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xml:space="preserve">      （单位公章）</w:t>
            </w:r>
          </w:p>
        </w:tc>
        <w:tc>
          <w:tcPr>
            <w:tcW w:w="15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260" w:type="dxa"/>
            <w:gridSpan w:val="2"/>
            <w:tcBorders>
              <w:top w:val="nil"/>
              <w:left w:val="nil"/>
              <w:bottom w:val="nil"/>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xml:space="preserve">          （单位公章）</w:t>
            </w:r>
          </w:p>
        </w:tc>
        <w:tc>
          <w:tcPr>
            <w:tcW w:w="16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760"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（盖章）</w:t>
            </w:r>
          </w:p>
        </w:tc>
      </w:tr>
      <w:tr>
        <w:tblPrEx>
          <w:tblCellMar>
            <w:top w:w="0" w:type="dxa"/>
            <w:left w:w="108" w:type="dxa"/>
            <w:bottom w:w="0" w:type="dxa"/>
            <w:right w:w="108" w:type="dxa"/>
          </w:tblCellMar>
        </w:tblPrEx>
        <w:trPr>
          <w:trHeight w:val="402" w:hRule="atLeast"/>
        </w:trPr>
        <w:tc>
          <w:tcPr>
            <w:tcW w:w="904" w:type="dxa"/>
            <w:tcBorders>
              <w:top w:val="nil"/>
              <w:left w:val="single" w:color="auto" w:sz="4" w:space="0"/>
              <w:bottom w:val="single" w:color="auto" w:sz="4" w:space="0"/>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476" w:type="dxa"/>
            <w:gridSpan w:val="2"/>
            <w:tcBorders>
              <w:top w:val="nil"/>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kern w:val="0"/>
                <w:sz w:val="24"/>
              </w:rPr>
            </w:pPr>
            <w:r>
              <w:rPr>
                <w:rFonts w:hint="eastAsia" w:ascii="宋体" w:hAnsi="宋体" w:eastAsia="宋体" w:cs="宋体"/>
                <w:kern w:val="0"/>
                <w:sz w:val="24"/>
              </w:rPr>
              <w:t xml:space="preserve">      年    月    日</w:t>
            </w:r>
          </w:p>
        </w:tc>
        <w:tc>
          <w:tcPr>
            <w:tcW w:w="15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260" w:type="dxa"/>
            <w:gridSpan w:val="2"/>
            <w:tcBorders>
              <w:top w:val="nil"/>
              <w:left w:val="nil"/>
              <w:bottom w:val="single" w:color="auto" w:sz="4" w:space="0"/>
              <w:right w:val="single" w:color="000000" w:sz="4" w:space="0"/>
            </w:tcBorders>
            <w:shd w:val="clear" w:color="auto" w:fill="auto"/>
            <w:noWrap/>
            <w:vAlign w:val="center"/>
          </w:tcPr>
          <w:p>
            <w:pPr>
              <w:widowControl/>
              <w:jc w:val="right"/>
              <w:rPr>
                <w:rFonts w:ascii="宋体" w:hAnsi="宋体" w:eastAsia="宋体" w:cs="宋体"/>
                <w:kern w:val="0"/>
                <w:sz w:val="24"/>
              </w:rPr>
            </w:pPr>
            <w:r>
              <w:rPr>
                <w:rFonts w:hint="eastAsia" w:ascii="宋体" w:hAnsi="宋体" w:eastAsia="宋体" w:cs="宋体"/>
                <w:kern w:val="0"/>
                <w:sz w:val="24"/>
              </w:rPr>
              <w:t>年    月    日</w:t>
            </w:r>
          </w:p>
        </w:tc>
        <w:tc>
          <w:tcPr>
            <w:tcW w:w="164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3020" w:type="dxa"/>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　</w:t>
            </w:r>
          </w:p>
        </w:tc>
        <w:tc>
          <w:tcPr>
            <w:tcW w:w="1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4"/>
              </w:rPr>
            </w:pPr>
            <w:r>
              <w:rPr>
                <w:rFonts w:hint="eastAsia" w:ascii="宋体" w:hAnsi="宋体" w:eastAsia="宋体" w:cs="宋体"/>
                <w:kern w:val="0"/>
                <w:sz w:val="24"/>
              </w:rPr>
              <w:t>年    月    日</w:t>
            </w:r>
          </w:p>
        </w:tc>
      </w:tr>
      <w:tr>
        <w:tblPrEx>
          <w:tblCellMar>
            <w:top w:w="0" w:type="dxa"/>
            <w:left w:w="108" w:type="dxa"/>
            <w:bottom w:w="0" w:type="dxa"/>
            <w:right w:w="108" w:type="dxa"/>
          </w:tblCellMar>
        </w:tblPrEx>
        <w:trPr>
          <w:trHeight w:val="300" w:hRule="atLeast"/>
        </w:trPr>
        <w:tc>
          <w:tcPr>
            <w:tcW w:w="10800" w:type="dxa"/>
            <w:gridSpan w:val="7"/>
            <w:tcBorders>
              <w:top w:val="nil"/>
              <w:left w:val="nil"/>
              <w:bottom w:val="nil"/>
              <w:right w:val="nil"/>
            </w:tcBorders>
            <w:shd w:val="clear" w:color="auto" w:fill="auto"/>
            <w:noWrap/>
            <w:vAlign w:val="bottom"/>
          </w:tcPr>
          <w:p>
            <w:pPr>
              <w:widowControl/>
              <w:jc w:val="left"/>
              <w:rPr>
                <w:rFonts w:ascii="宋体" w:hAnsi="宋体" w:eastAsia="宋体" w:cs="宋体"/>
                <w:kern w:val="0"/>
                <w:sz w:val="22"/>
                <w:szCs w:val="22"/>
              </w:rPr>
            </w:pPr>
            <w:r>
              <w:rPr>
                <w:rFonts w:hint="eastAsia" w:ascii="宋体" w:hAnsi="宋体" w:eastAsia="宋体" w:cs="宋体"/>
                <w:kern w:val="0"/>
                <w:sz w:val="22"/>
                <w:szCs w:val="22"/>
              </w:rPr>
              <w:t>说明：1、本表一式四联，其中财政部门留存两联、主管部门留存一联、申报单位留作记账凭证一联。</w:t>
            </w: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1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300" w:hRule="atLeast"/>
        </w:trPr>
        <w:tc>
          <w:tcPr>
            <w:tcW w:w="15580" w:type="dxa"/>
            <w:gridSpan w:val="9"/>
            <w:tcBorders>
              <w:top w:val="nil"/>
              <w:left w:val="nil"/>
              <w:bottom w:val="nil"/>
              <w:right w:val="nil"/>
            </w:tcBorders>
            <w:shd w:val="clear" w:color="auto" w:fill="auto"/>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2、单位申请资产报废，需同时附报《山东省省级行政事业国有资产处置管理办法》规定的申办材料。</w:t>
            </w:r>
          </w:p>
        </w:tc>
      </w:tr>
      <w:tr>
        <w:tblPrEx>
          <w:tblCellMar>
            <w:top w:w="0" w:type="dxa"/>
            <w:left w:w="108" w:type="dxa"/>
            <w:bottom w:w="0" w:type="dxa"/>
            <w:right w:w="108" w:type="dxa"/>
          </w:tblCellMar>
        </w:tblPrEx>
        <w:trPr>
          <w:trHeight w:val="300" w:hRule="atLeast"/>
        </w:trPr>
        <w:tc>
          <w:tcPr>
            <w:tcW w:w="9160" w:type="dxa"/>
            <w:gridSpan w:val="6"/>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　　　3、本表由各单位通过“山东省行政事业资产管理信息系统”填制并打印上报。</w:t>
            </w:r>
          </w:p>
        </w:tc>
        <w:tc>
          <w:tcPr>
            <w:tcW w:w="164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302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p>
        </w:tc>
        <w:tc>
          <w:tcPr>
            <w:tcW w:w="1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bl>
    <w:p>
      <w:pPr>
        <w:spacing w:line="600" w:lineRule="exact"/>
        <w:ind w:firstLine="420" w:firstLineChars="200"/>
        <w:rPr>
          <w:rFonts w:ascii="Calibri" w:hAnsi="Calibri" w:eastAsia="宋体" w:cs="Times New Roman"/>
        </w:rPr>
      </w:pPr>
    </w:p>
    <w:p>
      <w:pPr>
        <w:spacing w:line="600" w:lineRule="exact"/>
        <w:rPr>
          <w:rFonts w:ascii="Calibri" w:hAnsi="Calibri" w:eastAsia="宋体" w:cs="Times New Roman"/>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jc w:val="center"/>
        <w:rPr>
          <w:rFonts w:ascii="方正小标宋简体" w:hAnsi="方正仿宋简体" w:eastAsia="方正小标宋简体" w:cs="方正仿宋简体"/>
          <w:sz w:val="40"/>
          <w:szCs w:val="40"/>
        </w:rPr>
      </w:pPr>
    </w:p>
    <w:p>
      <w:pPr>
        <w:ind w:firstLine="1566" w:firstLineChars="300"/>
        <w:rPr>
          <w:rFonts w:ascii="宋体" w:hAnsi="宋体" w:eastAsia="宋体"/>
          <w:b/>
          <w:bCs/>
          <w:sz w:val="52"/>
          <w:szCs w:val="52"/>
        </w:rPr>
      </w:pPr>
      <w:r>
        <w:rPr>
          <w:rFonts w:hint="eastAsia" w:ascii="宋体" w:hAnsi="宋体" w:eastAsia="宋体"/>
          <w:b/>
          <w:bCs/>
          <w:sz w:val="52"/>
          <w:szCs w:val="52"/>
        </w:rPr>
        <w:t>山东省财政厅文件</w:t>
      </w:r>
    </w:p>
    <w:p>
      <w:pPr>
        <w:ind w:firstLine="2240" w:firstLineChars="800"/>
        <w:rPr>
          <w:rFonts w:ascii="宋体" w:hAnsi="宋体" w:eastAsia="宋体"/>
          <w:sz w:val="28"/>
          <w:szCs w:val="28"/>
        </w:rPr>
      </w:pPr>
      <w:r>
        <w:rPr>
          <w:rFonts w:hint="eastAsia" w:ascii="宋体" w:hAnsi="宋体" w:eastAsia="宋体"/>
          <w:sz w:val="28"/>
          <w:szCs w:val="28"/>
        </w:rPr>
        <w:t>鲁财资</w:t>
      </w:r>
      <w:r>
        <w:rPr>
          <w:rFonts w:ascii="宋体" w:hAnsi="宋体" w:eastAsia="宋体"/>
          <w:sz w:val="28"/>
          <w:szCs w:val="28"/>
        </w:rPr>
        <w:t>(2017) 92号</w:t>
      </w:r>
    </w:p>
    <w:p>
      <w:pPr>
        <w:rPr>
          <w:rFonts w:ascii="宋体" w:hAnsi="宋体" w:eastAsia="宋体"/>
          <w:sz w:val="28"/>
          <w:szCs w:val="28"/>
        </w:rPr>
      </w:pPr>
    </w:p>
    <w:p>
      <w:pPr>
        <w:ind w:firstLine="442" w:firstLineChars="100"/>
        <w:rPr>
          <w:rFonts w:ascii="宋体" w:hAnsi="宋体" w:eastAsia="宋体"/>
          <w:b/>
          <w:bCs/>
          <w:sz w:val="44"/>
          <w:szCs w:val="44"/>
        </w:rPr>
      </w:pPr>
      <w:r>
        <w:rPr>
          <w:rFonts w:hint="eastAsia" w:ascii="宋体" w:hAnsi="宋体" w:eastAsia="宋体"/>
          <w:b/>
          <w:bCs/>
          <w:sz w:val="44"/>
          <w:szCs w:val="44"/>
        </w:rPr>
        <w:t>关于明确行政事业资产转增国家资本金</w:t>
      </w:r>
    </w:p>
    <w:p>
      <w:pPr>
        <w:ind w:firstLine="1767" w:firstLineChars="400"/>
        <w:rPr>
          <w:rFonts w:ascii="宋体" w:hAnsi="宋体" w:eastAsia="宋体"/>
          <w:b/>
          <w:bCs/>
          <w:sz w:val="44"/>
          <w:szCs w:val="44"/>
        </w:rPr>
      </w:pPr>
      <w:r>
        <w:rPr>
          <w:rFonts w:hint="eastAsia" w:ascii="宋体" w:hAnsi="宋体" w:eastAsia="宋体"/>
          <w:b/>
          <w:bCs/>
          <w:sz w:val="44"/>
          <w:szCs w:val="44"/>
        </w:rPr>
        <w:t>办理流程的通知</w:t>
      </w:r>
    </w:p>
    <w:p>
      <w:pPr>
        <w:rPr>
          <w:rFonts w:ascii="宋体" w:hAnsi="宋体" w:eastAsia="宋体"/>
          <w:sz w:val="28"/>
          <w:szCs w:val="28"/>
        </w:rPr>
      </w:pPr>
    </w:p>
    <w:p>
      <w:pPr>
        <w:rPr>
          <w:rFonts w:ascii="宋体" w:hAnsi="宋体" w:eastAsia="宋体"/>
          <w:sz w:val="28"/>
          <w:szCs w:val="28"/>
        </w:rPr>
      </w:pPr>
      <w:r>
        <w:rPr>
          <w:rFonts w:hint="eastAsia" w:ascii="宋体" w:hAnsi="宋体" w:eastAsia="宋体"/>
          <w:sz w:val="28"/>
          <w:szCs w:val="28"/>
        </w:rPr>
        <w:t>省直有关部门、单位</w:t>
      </w:r>
      <w:r>
        <w:rPr>
          <w:rFonts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为贯彻落实《中共山东省委山东省人民政府关于加快推动国有企业改革的十条意见》</w:t>
      </w:r>
      <w:r>
        <w:rPr>
          <w:rFonts w:ascii="宋体" w:hAnsi="宋体" w:eastAsia="宋体"/>
          <w:sz w:val="28"/>
          <w:szCs w:val="28"/>
        </w:rPr>
        <w:t>(鲁发(2017) 17号)中提出的“全面推行国有企业长期实质性使用的行政事业性资产划转增加企业国家资本金政策”的要求，扎实推进国有企业改革发展，现将行政事业资产转增国家资本金的具体办理流程通知如下:</w:t>
      </w:r>
    </w:p>
    <w:p>
      <w:pPr>
        <w:ind w:firstLine="562" w:firstLineChars="200"/>
        <w:rPr>
          <w:rFonts w:ascii="宋体" w:hAnsi="宋体" w:eastAsia="宋体"/>
          <w:b/>
          <w:bCs/>
          <w:sz w:val="28"/>
          <w:szCs w:val="28"/>
        </w:rPr>
      </w:pPr>
      <w:r>
        <w:rPr>
          <w:rFonts w:hint="eastAsia" w:ascii="宋体" w:hAnsi="宋体" w:eastAsia="宋体"/>
          <w:b/>
          <w:bCs/>
          <w:sz w:val="28"/>
          <w:szCs w:val="28"/>
        </w:rPr>
        <w:t>一、签订划转协议</w:t>
      </w:r>
    </w:p>
    <w:p>
      <w:pPr>
        <w:ind w:firstLine="560" w:firstLineChars="200"/>
        <w:rPr>
          <w:rFonts w:ascii="宋体" w:hAnsi="宋体" w:eastAsia="宋体"/>
          <w:sz w:val="28"/>
          <w:szCs w:val="28"/>
        </w:rPr>
      </w:pPr>
      <w:r>
        <w:rPr>
          <w:rFonts w:hint="eastAsia" w:ascii="宋体" w:hAnsi="宋体" w:eastAsia="宋体"/>
          <w:sz w:val="28"/>
          <w:szCs w:val="28"/>
        </w:rPr>
        <w:t>长期实质性使用行政事业性资产的相关省属国有企业</w:t>
      </w:r>
      <w:r>
        <w:rPr>
          <w:rFonts w:ascii="宋体" w:hAnsi="宋体" w:eastAsia="宋体"/>
          <w:sz w:val="28"/>
          <w:szCs w:val="28"/>
        </w:rPr>
        <w:t>(以下</w:t>
      </w:r>
      <w:r>
        <w:rPr>
          <w:rFonts w:hint="eastAsia" w:ascii="宋体" w:hAnsi="宋体" w:eastAsia="宋体"/>
          <w:sz w:val="28"/>
          <w:szCs w:val="28"/>
        </w:rPr>
        <w:t>简称相关企业</w:t>
      </w:r>
      <w:r>
        <w:rPr>
          <w:rFonts w:ascii="宋体" w:hAnsi="宋体" w:eastAsia="宋体"/>
          <w:sz w:val="28"/>
          <w:szCs w:val="28"/>
        </w:rPr>
        <w:t>)及其主管部门或监管材机构，应首先就资产划转事</w:t>
      </w:r>
      <w:r>
        <w:rPr>
          <w:rFonts w:hint="eastAsia" w:ascii="宋体" w:hAnsi="宋体" w:eastAsia="宋体"/>
          <w:sz w:val="28"/>
          <w:szCs w:val="28"/>
        </w:rPr>
        <w:t>宜与资产权属单位</w:t>
      </w:r>
      <w:r>
        <w:rPr>
          <w:rFonts w:ascii="宋体" w:hAnsi="宋体" w:eastAsia="宋体"/>
          <w:sz w:val="28"/>
          <w:szCs w:val="28"/>
        </w:rPr>
        <w:t>(是指资产权属证</w:t>
      </w:r>
      <w:r>
        <w:rPr>
          <w:rFonts w:hint="eastAsia" w:ascii="宋体" w:hAnsi="宋体" w:eastAsia="宋体"/>
          <w:sz w:val="28"/>
          <w:szCs w:val="28"/>
        </w:rPr>
        <w:t>书记载的</w:t>
      </w:r>
      <w:r>
        <w:rPr>
          <w:rFonts w:ascii="宋体" w:hAnsi="宋体" w:eastAsia="宋体"/>
          <w:sz w:val="28"/>
          <w:szCs w:val="28"/>
        </w:rPr>
        <w:t>单位</w:t>
      </w:r>
      <w:r>
        <w:rPr>
          <w:rFonts w:hint="eastAsia" w:ascii="宋体" w:hAnsi="宋体" w:eastAsia="宋体"/>
          <w:sz w:val="28"/>
          <w:szCs w:val="28"/>
        </w:rPr>
        <w:t>，或虽无权属证书但实际占有其资产的行政事业单位，以下简称权属单位</w:t>
      </w:r>
      <w:r>
        <w:rPr>
          <w:rFonts w:ascii="宋体" w:hAnsi="宋体" w:eastAsia="宋体"/>
          <w:sz w:val="28"/>
          <w:szCs w:val="28"/>
        </w:rPr>
        <w:t>)以</w:t>
      </w:r>
      <w:r>
        <w:rPr>
          <w:rFonts w:hint="eastAsia" w:ascii="宋体" w:hAnsi="宋体" w:eastAsia="宋体"/>
          <w:sz w:val="28"/>
          <w:szCs w:val="28"/>
        </w:rPr>
        <w:t>及权属单位主管部门</w:t>
      </w:r>
      <w:r>
        <w:rPr>
          <w:rFonts w:ascii="宋体" w:hAnsi="宋体" w:eastAsia="宋体"/>
          <w:sz w:val="28"/>
          <w:szCs w:val="28"/>
        </w:rPr>
        <w:t>(以下简称权属部门)</w:t>
      </w:r>
      <w:r>
        <w:rPr>
          <w:rFonts w:hint="eastAsia" w:ascii="宋体" w:hAnsi="宋体" w:eastAsia="宋体"/>
          <w:sz w:val="28"/>
          <w:szCs w:val="28"/>
        </w:rPr>
        <w:t>协商一致，并共同签订书面资产划转协议。</w:t>
      </w:r>
    </w:p>
    <w:p>
      <w:pPr>
        <w:ind w:firstLine="560" w:firstLineChars="200"/>
        <w:rPr>
          <w:rFonts w:ascii="宋体" w:hAnsi="宋体" w:eastAsia="宋体"/>
          <w:sz w:val="28"/>
          <w:szCs w:val="28"/>
        </w:rPr>
      </w:pPr>
      <w:r>
        <w:rPr>
          <w:rFonts w:hint="eastAsia" w:ascii="宋体" w:hAnsi="宋体" w:eastAsia="宋体"/>
          <w:sz w:val="28"/>
          <w:szCs w:val="28"/>
        </w:rPr>
        <w:t>协议中应明确划转资产的范围，并详细说明资产权属状况。权属关系不明晰或有争议的资产，则应在理顺</w:t>
      </w:r>
      <w:r>
        <w:rPr>
          <w:rFonts w:ascii="宋体" w:hAnsi="宋体" w:eastAsia="宋体"/>
          <w:sz w:val="28"/>
          <w:szCs w:val="28"/>
        </w:rPr>
        <w:t>产权关系、依法办理权属证书或者变更相关登记后，再签订划转协议。涉及国有划拨土地资产处置的，按照国家有关法规政策办理。</w:t>
      </w:r>
    </w:p>
    <w:p>
      <w:pPr>
        <w:ind w:firstLine="562" w:firstLineChars="200"/>
        <w:rPr>
          <w:rFonts w:ascii="宋体" w:hAnsi="宋体" w:eastAsia="宋体"/>
          <w:b/>
          <w:bCs/>
          <w:sz w:val="28"/>
          <w:szCs w:val="28"/>
        </w:rPr>
      </w:pPr>
      <w:r>
        <w:rPr>
          <w:rFonts w:hint="eastAsia" w:ascii="宋体" w:hAnsi="宋体" w:eastAsia="宋体"/>
          <w:b/>
          <w:bCs/>
          <w:sz w:val="28"/>
          <w:szCs w:val="28"/>
        </w:rPr>
        <w:t>二、提出划转申请</w:t>
      </w:r>
    </w:p>
    <w:p>
      <w:pPr>
        <w:ind w:firstLine="560" w:firstLineChars="200"/>
        <w:rPr>
          <w:rFonts w:ascii="宋体" w:hAnsi="宋体" w:eastAsia="宋体"/>
          <w:sz w:val="28"/>
          <w:szCs w:val="28"/>
        </w:rPr>
      </w:pPr>
      <w:r>
        <w:rPr>
          <w:rFonts w:hint="eastAsia" w:ascii="宋体" w:hAnsi="宋体" w:eastAsia="宋体"/>
          <w:sz w:val="28"/>
          <w:szCs w:val="28"/>
        </w:rPr>
        <w:t>签订资产划转协议后，权属单位按照省财政厅《关于印发</w:t>
      </w:r>
      <w:r>
        <w:rPr>
          <w:rFonts w:ascii="宋体" w:hAnsi="宋体" w:eastAsia="宋体"/>
          <w:sz w:val="28"/>
          <w:szCs w:val="28"/>
        </w:rPr>
        <w:t>(山东省省级行政事业国有资产处置管理办法〉的通知》(鲁财资(2017) 36 号)规定的权限和程序，向省财政厅(或权属部门)提出资产划转申请，申请文件中应明确转增注册资本的出资人。</w:t>
      </w:r>
    </w:p>
    <w:p>
      <w:pPr>
        <w:ind w:firstLine="562" w:firstLineChars="200"/>
        <w:rPr>
          <w:rFonts w:ascii="宋体" w:hAnsi="宋体" w:eastAsia="宋体"/>
          <w:b/>
          <w:bCs/>
          <w:sz w:val="28"/>
          <w:szCs w:val="28"/>
        </w:rPr>
      </w:pPr>
      <w:r>
        <w:rPr>
          <w:rFonts w:ascii="宋体" w:hAnsi="宋体" w:eastAsia="宋体"/>
          <w:b/>
          <w:bCs/>
          <w:sz w:val="28"/>
          <w:szCs w:val="28"/>
        </w:rPr>
        <w:t>三、开展资产评估</w:t>
      </w:r>
    </w:p>
    <w:p>
      <w:pPr>
        <w:ind w:firstLine="560" w:firstLineChars="200"/>
        <w:rPr>
          <w:rFonts w:ascii="宋体" w:hAnsi="宋体" w:eastAsia="宋体"/>
          <w:sz w:val="28"/>
          <w:szCs w:val="28"/>
        </w:rPr>
      </w:pPr>
      <w:r>
        <w:rPr>
          <w:rFonts w:hint="eastAsia" w:ascii="宋体" w:hAnsi="宋体" w:eastAsia="宋体"/>
          <w:sz w:val="28"/>
          <w:szCs w:val="28"/>
        </w:rPr>
        <w:t>按照规定权限和程序，省财政厅</w:t>
      </w:r>
      <w:r>
        <w:rPr>
          <w:rFonts w:ascii="宋体" w:hAnsi="宋体" w:eastAsia="宋体"/>
          <w:sz w:val="28"/>
          <w:szCs w:val="28"/>
        </w:rPr>
        <w:t>(或权属部门)委托具有相应资质的中介机构对拟划转资产进行评估，确定其市场公允价值，并按规定办理资产评估备案手续。</w:t>
      </w:r>
    </w:p>
    <w:p>
      <w:pPr>
        <w:ind w:firstLine="562" w:firstLineChars="200"/>
        <w:rPr>
          <w:rFonts w:ascii="宋体" w:hAnsi="宋体" w:eastAsia="宋体"/>
          <w:b/>
          <w:bCs/>
          <w:sz w:val="28"/>
          <w:szCs w:val="28"/>
        </w:rPr>
      </w:pPr>
      <w:r>
        <w:rPr>
          <w:rFonts w:hint="eastAsia" w:ascii="宋体" w:hAnsi="宋体" w:eastAsia="宋体"/>
          <w:b/>
          <w:bCs/>
          <w:sz w:val="28"/>
          <w:szCs w:val="28"/>
        </w:rPr>
        <w:t>四、批复资产划转</w:t>
      </w:r>
    </w:p>
    <w:p>
      <w:pPr>
        <w:ind w:firstLine="560" w:firstLineChars="200"/>
        <w:rPr>
          <w:rFonts w:ascii="宋体" w:hAnsi="宋体" w:eastAsia="宋体"/>
          <w:sz w:val="28"/>
          <w:szCs w:val="28"/>
        </w:rPr>
      </w:pPr>
      <w:r>
        <w:rPr>
          <w:rFonts w:hint="eastAsia" w:ascii="宋体" w:hAnsi="宋体" w:eastAsia="宋体"/>
          <w:sz w:val="28"/>
          <w:szCs w:val="28"/>
        </w:rPr>
        <w:t>资产评估结束后，省财政厅</w:t>
      </w:r>
      <w:r>
        <w:rPr>
          <w:rFonts w:ascii="宋体" w:hAnsi="宋体" w:eastAsia="宋体"/>
          <w:sz w:val="28"/>
          <w:szCs w:val="28"/>
        </w:rPr>
        <w:t>(或权属部门)依据权属单位</w:t>
      </w:r>
      <w:r>
        <w:rPr>
          <w:rFonts w:hint="eastAsia" w:ascii="宋体" w:hAnsi="宋体" w:eastAsia="宋体"/>
          <w:sz w:val="28"/>
          <w:szCs w:val="28"/>
        </w:rPr>
        <w:t>申</w:t>
      </w:r>
      <w:r>
        <w:rPr>
          <w:rFonts w:ascii="宋体" w:hAnsi="宋体" w:eastAsia="宋体"/>
          <w:sz w:val="28"/>
          <w:szCs w:val="28"/>
        </w:rPr>
        <w:t>请、相关企业主管部门或监管机构出具的</w:t>
      </w:r>
      <w:r>
        <w:rPr>
          <w:rFonts w:hint="eastAsia" w:ascii="宋体" w:hAnsi="宋体" w:eastAsia="宋体"/>
          <w:sz w:val="28"/>
          <w:szCs w:val="28"/>
        </w:rPr>
        <w:t>同意接</w:t>
      </w:r>
      <w:r>
        <w:rPr>
          <w:rFonts w:ascii="宋体" w:hAnsi="宋体" w:eastAsia="宋体"/>
          <w:sz w:val="28"/>
          <w:szCs w:val="28"/>
        </w:rPr>
        <w:t>收相关资产并</w:t>
      </w:r>
      <w:r>
        <w:rPr>
          <w:rFonts w:hint="eastAsia" w:ascii="宋体" w:hAnsi="宋体" w:eastAsia="宋体"/>
          <w:sz w:val="28"/>
          <w:szCs w:val="28"/>
        </w:rPr>
        <w:t>转</w:t>
      </w:r>
      <w:r>
        <w:rPr>
          <w:rFonts w:ascii="宋体" w:hAnsi="宋体" w:eastAsia="宋体"/>
          <w:sz w:val="28"/>
          <w:szCs w:val="28"/>
        </w:rPr>
        <w:t>增国家资本金的报</w:t>
      </w:r>
      <w:r>
        <w:rPr>
          <w:rFonts w:hint="eastAsia" w:ascii="宋体" w:hAnsi="宋体" w:eastAsia="宋体"/>
          <w:sz w:val="28"/>
          <w:szCs w:val="28"/>
        </w:rPr>
        <w:t>告</w:t>
      </w:r>
      <w:r>
        <w:rPr>
          <w:rFonts w:ascii="宋体" w:hAnsi="宋体" w:eastAsia="宋体"/>
          <w:sz w:val="28"/>
          <w:szCs w:val="28"/>
        </w:rPr>
        <w:t>批复资产划转， 并核定转增国家资本金数额</w:t>
      </w:r>
      <w:r>
        <w:rPr>
          <w:rFonts w:hint="eastAsia" w:ascii="宋体" w:hAnsi="宋体" w:eastAsia="宋体"/>
          <w:sz w:val="28"/>
          <w:szCs w:val="28"/>
        </w:rPr>
        <w:t>及出资人。</w:t>
      </w:r>
    </w:p>
    <w:p>
      <w:pPr>
        <w:ind w:firstLine="562" w:firstLineChars="200"/>
        <w:rPr>
          <w:rFonts w:ascii="宋体" w:hAnsi="宋体" w:eastAsia="宋体"/>
          <w:b/>
          <w:bCs/>
          <w:sz w:val="28"/>
          <w:szCs w:val="28"/>
        </w:rPr>
      </w:pPr>
      <w:r>
        <w:rPr>
          <w:rFonts w:hint="eastAsia" w:ascii="宋体" w:hAnsi="宋体" w:eastAsia="宋体"/>
          <w:b/>
          <w:bCs/>
          <w:sz w:val="28"/>
          <w:szCs w:val="28"/>
        </w:rPr>
        <w:t>五、办理划转手续</w:t>
      </w:r>
    </w:p>
    <w:p>
      <w:pPr>
        <w:ind w:firstLine="560" w:firstLineChars="200"/>
        <w:rPr>
          <w:rFonts w:ascii="宋体" w:hAnsi="宋体" w:eastAsia="宋体"/>
          <w:sz w:val="28"/>
          <w:szCs w:val="28"/>
        </w:rPr>
      </w:pPr>
      <w:r>
        <w:rPr>
          <w:rFonts w:hint="eastAsia" w:ascii="宋体" w:hAnsi="宋体" w:eastAsia="宋体"/>
          <w:sz w:val="28"/>
          <w:szCs w:val="28"/>
        </w:rPr>
        <w:t>权属单位、相关企业依据省财政厅</w:t>
      </w:r>
      <w:r>
        <w:rPr>
          <w:rFonts w:ascii="宋体" w:hAnsi="宋体" w:eastAsia="宋体"/>
          <w:sz w:val="28"/>
          <w:szCs w:val="28"/>
        </w:rPr>
        <w:t>(或权属部门)资产划转批复文件办理有关资产转移、过户及工商变更登记等手续。</w:t>
      </w:r>
    </w:p>
    <w:p>
      <w:pPr>
        <w:ind w:firstLine="560" w:firstLineChars="200"/>
        <w:rPr>
          <w:rFonts w:ascii="宋体" w:hAnsi="宋体" w:eastAsia="宋体"/>
          <w:sz w:val="28"/>
          <w:szCs w:val="28"/>
        </w:rPr>
      </w:pPr>
    </w:p>
    <w:p>
      <w:pPr>
        <w:ind w:firstLine="5880" w:firstLineChars="2100"/>
        <w:rPr>
          <w:rFonts w:ascii="宋体" w:hAnsi="宋体" w:eastAsia="宋体"/>
          <w:sz w:val="28"/>
          <w:szCs w:val="28"/>
        </w:rPr>
      </w:pPr>
      <w:r>
        <w:rPr>
          <w:rFonts w:hint="eastAsia" w:ascii="宋体" w:hAnsi="宋体" w:eastAsia="宋体"/>
          <w:sz w:val="28"/>
          <w:szCs w:val="28"/>
        </w:rPr>
        <w:t>山东省财政厅</w:t>
      </w:r>
    </w:p>
    <w:p>
      <w:pPr>
        <w:ind w:firstLine="5600" w:firstLineChars="2000"/>
        <w:rPr>
          <w:rFonts w:ascii="宋体" w:hAnsi="宋体" w:eastAsia="宋体"/>
          <w:sz w:val="28"/>
          <w:szCs w:val="28"/>
        </w:rPr>
      </w:pPr>
      <w:r>
        <w:rPr>
          <w:rFonts w:ascii="宋体" w:hAnsi="宋体" w:eastAsia="宋体"/>
          <w:sz w:val="28"/>
          <w:szCs w:val="28"/>
        </w:rPr>
        <w:t>2017年12月25日</w:t>
      </w:r>
    </w:p>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hint="eastAsia"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(五)事业资产评估管理</w:t>
      </w: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spacing w:line="400" w:lineRule="exact"/>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财政部关于《国有资产评估管理办法（公开征求意见稿）》向社会公开征求意见的通知</w:t>
      </w:r>
    </w:p>
    <w:p>
      <w:pPr>
        <w:spacing w:line="400" w:lineRule="exact"/>
        <w:ind w:firstLine="520" w:firstLineChars="200"/>
        <w:jc w:val="left"/>
        <w:rPr>
          <w:rFonts w:ascii="方正仿宋简体" w:hAnsi="方正仿宋简体" w:eastAsia="方正仿宋简体" w:cs="方正仿宋简体"/>
          <w:b/>
          <w:b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ascii="方正仿宋简体" w:hAnsi="方正仿宋简体" w:eastAsia="方正仿宋简体" w:cs="方正仿宋简体"/>
          <w:bCs/>
          <w:iCs/>
          <w:sz w:val="26"/>
          <w:szCs w:val="26"/>
        </w:rPr>
        <w:pict>
          <v:shape id="_x0000_s1040" o:spid="_x0000_s1040" o:spt="100" style="position:absolute;left:0pt;margin-left:135.4pt;margin-top:1.3pt;height:57.75pt;width:418.45pt;mso-position-horizontal-relative:page;z-index:-251648000;mso-width-relative:page;mso-height-relative:page;" stroked="f" coordsize="8369,1155" o:gfxdata="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8g&#10;A9TVAAAACgEAAA8AAAAAAAAAAQAgAAAAIgAAAGRycy9kb3ducmV2LnhtbFBLAQIUABQAAAAIAIdO&#10;4kBn1TeqJgIAAM0EAAAOAAAAAAAAAAEAIAAAACQBAABkcnMvZTJvRG9jLnhtbFBLBQYAAAAABgAG&#10;AFkBAAC8BQAAAAA=&#10;" adj=",," path="m8369,0l0,0,0,595,0,1154,8369,1154,8369,595,8369,0e">
            <v:path o:connecttype="segments"/>
            <v:fill focussize="0,0"/>
            <v:stroke on="f" joinstyle="round"/>
            <v:imagedata o:title=""/>
            <o:lock v:ext="edit"/>
          </v:shape>
        </w:pict>
      </w:r>
      <w:r>
        <w:rPr>
          <w:rFonts w:hint="eastAsia" w:ascii="方正仿宋简体" w:hAnsi="方正仿宋简体" w:eastAsia="方正仿宋简体" w:cs="方正仿宋简体"/>
          <w:bCs/>
          <w:iCs/>
          <w:sz w:val="26"/>
          <w:szCs w:val="26"/>
        </w:rPr>
        <w:t>为加强国有资产管理，规范国有资产评估行为，有效防止国有资产流失，根据《中华人民共和国企业国有资产法》</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《中华人民共和国资产评估法》等法律、行政法规规定，财政部对《国有资产评估管理办法》进行了修订，起草了《国有资产评估管理办法（公开征求意见稿）》。现向社会公开征求意见，公众可在 2020 年 11 月 27 日前，通过以下途径和方式提出意见：</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通过中华人民共和国财政部网站（ 网址： http</w:t>
      </w:r>
      <w:r>
        <w:fldChar w:fldCharType="begin"/>
      </w:r>
      <w:r>
        <w:instrText xml:space="preserve"> HYPERLINK "http://www.mof.gov.cn/" \h </w:instrText>
      </w:r>
      <w:r>
        <w:fldChar w:fldCharType="separate"/>
      </w:r>
      <w:r>
        <w:rPr>
          <w:rFonts w:hint="eastAsia" w:ascii="方正仿宋简体" w:hAnsi="方正仿宋简体" w:eastAsia="方正仿宋简体" w:cs="方正仿宋简体"/>
          <w:bCs/>
          <w:iCs/>
          <w:sz w:val="26"/>
          <w:szCs w:val="26"/>
        </w:rPr>
        <w:t>//www.mof.gov</w:t>
      </w:r>
      <w:r>
        <w:rPr>
          <w:rFonts w:hint="eastAsia" w:ascii="方正仿宋简体" w:hAnsi="方正仿宋简体" w:eastAsia="方正仿宋简体" w:cs="方正仿宋简体"/>
          <w:bCs/>
          <w:iCs/>
          <w:sz w:val="26"/>
          <w:szCs w:val="26"/>
        </w:rPr>
        <w:fldChar w:fldCharType="end"/>
      </w:r>
      <w:r>
        <w:rPr>
          <w:rFonts w:hint="eastAsia" w:ascii="方正仿宋简体" w:hAnsi="方正仿宋简体" w:eastAsia="方正仿宋简体" w:cs="方正仿宋简体"/>
          <w:bCs/>
          <w:iCs/>
          <w:sz w:val="26"/>
          <w:szCs w:val="26"/>
        </w:rPr>
        <w:t>.c</w:t>
      </w:r>
      <w:r>
        <w:fldChar w:fldCharType="begin"/>
      </w:r>
      <w:r>
        <w:instrText xml:space="preserve"> HYPERLINK "http://www.mof.gov.cn/" \h </w:instrText>
      </w:r>
      <w:r>
        <w:fldChar w:fldCharType="separate"/>
      </w:r>
      <w:r>
        <w:rPr>
          <w:rFonts w:hint="eastAsia" w:ascii="方正仿宋简体" w:hAnsi="方正仿宋简体" w:eastAsia="方正仿宋简体" w:cs="方正仿宋简体"/>
          <w:bCs/>
          <w:iCs/>
          <w:sz w:val="26"/>
          <w:szCs w:val="26"/>
        </w:rPr>
        <w:t>n</w:t>
      </w:r>
      <w:r>
        <w:rPr>
          <w:rFonts w:hint="eastAsia" w:ascii="方正仿宋简体" w:hAnsi="方正仿宋简体" w:eastAsia="方正仿宋简体" w:cs="方正仿宋简体"/>
          <w:bCs/>
          <w:iCs/>
          <w:sz w:val="26"/>
          <w:szCs w:val="26"/>
        </w:rPr>
        <w:fldChar w:fldCharType="end"/>
      </w:r>
      <w:r>
        <w:rPr>
          <w:rFonts w:hint="eastAsia" w:ascii="方正仿宋简体" w:hAnsi="方正仿宋简体" w:eastAsia="方正仿宋简体" w:cs="方正仿宋简体"/>
          <w:bCs/>
          <w:iCs/>
          <w:sz w:val="26"/>
          <w:szCs w:val="26"/>
        </w:rPr>
        <w:t>）“财政法规意见征集信息管理系统”（网址：http//lisms.mof.gov.cn/lisms）提出意见。 2.通过信函方式将意见寄至：北京市西城区三里河南三巷 3 号财政部资产管理司（邮政编码 100820），并在信封上注明“国有资产评估管理办法公开征求意见字样”。</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right="840" w:firstLine="5460" w:firstLineChars="21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财政部</w:t>
      </w:r>
    </w:p>
    <w:p>
      <w:pPr>
        <w:spacing w:line="400" w:lineRule="exact"/>
        <w:ind w:firstLine="4550" w:firstLineChars="175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2020 年 10 月 27 日</w:t>
      </w:r>
    </w:p>
    <w:p>
      <w:pPr>
        <w:spacing w:line="400" w:lineRule="exact"/>
        <w:ind w:firstLine="520" w:firstLineChars="200"/>
        <w:jc w:val="left"/>
        <w:rPr>
          <w:rFonts w:ascii="方正仿宋简体" w:hAnsi="方正仿宋简体" w:eastAsia="方正仿宋简体" w:cs="方正仿宋简体"/>
          <w:bCs/>
          <w:iCs/>
          <w:sz w:val="26"/>
          <w:szCs w:val="26"/>
        </w:rPr>
        <w:sectPr>
          <w:footerReference r:id="rId5" w:type="default"/>
          <w:pgSz w:w="11900" w:h="16838"/>
          <w:pgMar w:top="1417" w:right="1701" w:bottom="1417" w:left="1701" w:header="850" w:footer="850" w:gutter="0"/>
          <w:cols w:space="720" w:num="1"/>
          <w:docGrid w:type="lines" w:linePitch="366" w:charSpace="0"/>
        </w:sect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国有资产评估管理办法</w:t>
      </w: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（公开征求意见稿）</w:t>
      </w:r>
    </w:p>
    <w:p>
      <w:pPr>
        <w:pStyle w:val="6"/>
        <w:spacing w:line="400" w:lineRule="exact"/>
        <w:ind w:firstLine="520" w:firstLineChars="200"/>
        <w:jc w:val="left"/>
        <w:rPr>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bidi="zh-CN"/>
        </w:rPr>
      </w:pPr>
      <w:bookmarkStart w:id="8" w:name="第一章_总则"/>
      <w:bookmarkEnd w:id="8"/>
      <w:r>
        <w:rPr>
          <w:rFonts w:hint="eastAsia" w:ascii="黑体" w:hAnsi="黑体" w:eastAsia="黑体" w:cs="黑体"/>
          <w:kern w:val="0"/>
          <w:sz w:val="26"/>
          <w:szCs w:val="26"/>
          <w:lang w:bidi="zh-CN"/>
        </w:rPr>
        <w:t>第一章</w:t>
      </w:r>
      <w:r>
        <w:rPr>
          <w:rFonts w:hint="eastAsia" w:ascii="黑体" w:hAnsi="黑体" w:eastAsia="黑体" w:cs="黑体"/>
          <w:kern w:val="0"/>
          <w:sz w:val="26"/>
          <w:szCs w:val="26"/>
          <w:lang w:bidi="zh-CN"/>
        </w:rPr>
        <w:tab/>
      </w:r>
      <w:r>
        <w:rPr>
          <w:rFonts w:hint="eastAsia" w:ascii="黑体" w:hAnsi="黑体" w:eastAsia="黑体" w:cs="黑体"/>
          <w:kern w:val="0"/>
          <w:sz w:val="26"/>
          <w:szCs w:val="26"/>
          <w:lang w:bidi="zh-CN"/>
        </w:rPr>
        <w:t>总则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第一条</w:t>
      </w:r>
      <w:r>
        <w:rPr>
          <w:rFonts w:hint="eastAsia" w:ascii="方正仿宋简体" w:hAnsi="方正仿宋简体" w:eastAsia="方正仿宋简体" w:cs="方正仿宋简体"/>
          <w:bCs/>
          <w:iCs/>
          <w:sz w:val="26"/>
          <w:szCs w:val="26"/>
        </w:rPr>
        <w:t xml:space="preserve"> 为加强国有资产管理，规范国有资产评估行为，有效防止国有资产流失，根据《中华人民共和国企业国有资产法》《中华人民共和国资产评估法》等相关法律、行政法规，制定本办法。</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第二条</w:t>
      </w:r>
      <w:r>
        <w:rPr>
          <w:rFonts w:hint="eastAsia" w:ascii="楷体" w:hAnsi="楷体" w:eastAsia="楷体" w:cs="楷体"/>
          <w:bCs/>
          <w:iCs/>
          <w:sz w:val="26"/>
          <w:szCs w:val="26"/>
        </w:rPr>
        <w:t xml:space="preserve"> 本办法所称国有资产评估，是指评估机构根据委托，对国有单</w:t>
      </w:r>
      <w:r>
        <w:rPr>
          <w:rFonts w:hint="eastAsia" w:ascii="方正仿宋简体" w:hAnsi="方正仿宋简体" w:eastAsia="方正仿宋简体" w:cs="方正仿宋简体"/>
          <w:bCs/>
          <w:iCs/>
          <w:sz w:val="26"/>
          <w:szCs w:val="26"/>
        </w:rPr>
        <w:t>位相关经济行为所涉及的国有资产或者非国有资产的经济权益进行评定、估算，并出具评估报告的专业服务行为。本办法所称国有单位，是指政府部门、机构、事业单位， 国有及国有控股企业、国有实际控制企业、政府投资基金等国有资产产权持有单位。</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第三条</w:t>
      </w:r>
      <w:r>
        <w:rPr>
          <w:rFonts w:hint="eastAsia" w:ascii="方正仿宋简体" w:hAnsi="方正仿宋简体" w:eastAsia="方正仿宋简体" w:cs="方正仿宋简体"/>
          <w:bCs/>
          <w:iCs/>
          <w:sz w:val="26"/>
          <w:szCs w:val="26"/>
        </w:rPr>
        <w:t xml:space="preserve"> 国有资产评估业务属于法定资产评估业务。国有资产评估，除法律、行政法规另有规定外，适用本办法。</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第四条</w:t>
      </w:r>
      <w:r>
        <w:rPr>
          <w:rFonts w:hint="eastAsia" w:ascii="方正仿宋简体" w:hAnsi="方正仿宋简体" w:eastAsia="方正仿宋简体" w:cs="方正仿宋简体"/>
          <w:bCs/>
          <w:iCs/>
          <w:sz w:val="26"/>
          <w:szCs w:val="26"/>
        </w:rPr>
        <w:t xml:space="preserve"> 国有资产监督管理机构根据需要，可以授权国有单位在其管理权限范围内对国有资产评估行为进行监督 管理。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bookmarkStart w:id="9" w:name="第二章_资产评估管理"/>
      <w:bookmarkEnd w:id="9"/>
      <w:r>
        <w:rPr>
          <w:rFonts w:hint="eastAsia" w:ascii="黑体" w:hAnsi="黑体" w:eastAsia="黑体" w:cs="黑体"/>
          <w:kern w:val="0"/>
          <w:sz w:val="26"/>
          <w:szCs w:val="26"/>
          <w:lang w:val="zh-CN" w:bidi="zh-CN"/>
        </w:rPr>
        <w:t>第二章资产评估管理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第五条</w:t>
      </w:r>
      <w:r>
        <w:rPr>
          <w:rFonts w:hint="eastAsia" w:ascii="方正仿宋简体" w:hAnsi="方正仿宋简体" w:eastAsia="方正仿宋简体" w:cs="方正仿宋简体"/>
          <w:bCs/>
          <w:iCs/>
          <w:sz w:val="26"/>
          <w:szCs w:val="26"/>
        </w:rPr>
        <w:t xml:space="preserve"> 国有单位有下列行为的，应当对相关资产进行资产评估：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 整体或者部分改制为有限责任公司或者股份有限公司；</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 合并、分立、收购、清算；</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 以非货币资产对外投资、接受非货币资产出资；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 债权转股权；</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（五） 产权转让；</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（六） 除上市公司以外的国有股东股权比例变动；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（七） 资产转让、置换、租赁；</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（八） 以非货币资产偿还债务、接受非货币性资产抵债；</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（九） 接受非货币性资产抵押或者质押；</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（十） 国有资产监督管理机构规定应当进行资产评估的其他情形。</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第六条</w:t>
      </w:r>
      <w:r>
        <w:rPr>
          <w:rFonts w:hint="eastAsia" w:ascii="方正仿宋简体" w:hAnsi="方正仿宋简体" w:eastAsia="方正仿宋简体" w:cs="方正仿宋简体"/>
          <w:bCs/>
          <w:iCs/>
          <w:sz w:val="26"/>
          <w:szCs w:val="26"/>
        </w:rPr>
        <w:t>国有单位下列行为，可以不进行资产评估：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 经各级人民政府或者国有资产监督管理机构批准，实施无偿划转资产的；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 政府部门、机构、事业单位、国有独资企业之间实施合并、分立以及其他经济行为的；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 发生多次同类型经济行为时，同一资产在评估报告使用有效期内，并且资产、市场状况未发生重大变化的；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 国家有关法律、行政法规以及国有资产监督管理机构规定以其他方式确定价值的。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第七条</w:t>
      </w:r>
      <w:r>
        <w:rPr>
          <w:rFonts w:hint="eastAsia" w:ascii="方正仿宋简体" w:hAnsi="方正仿宋简体" w:eastAsia="方正仿宋简体" w:cs="方正仿宋简体"/>
          <w:bCs/>
          <w:iCs/>
          <w:sz w:val="26"/>
          <w:szCs w:val="26"/>
        </w:rPr>
        <w:t>国有单位有权自主选择符合规定的评估机构，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任何组织或者个人不得非法限制或者干预。国有单位按照以下程序确定资产评估项目委托人：</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（一）国有单位依法委托评估机构对相关国有资产进行资产评估，委托人和被评估单位不得非法干预评估机构正常执业；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（二）接受非国有资产的国有单位依法委托评估机构对相关非国有资产进行资产评估；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（三）按照前两款确定的委托人涉及两个以上国有单位的，经全体当事人协商一致，可以共同委托或者授权其中一个当事人委托评估机构进行资产评估；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（四）在符合前三款规定的情况下，国有单位可以与被评估单位等其他相关当事人共同委托评估机构进行资产评 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国有单位委托评估机构应当对其提供的权属证明、财务会计信息和其他资料的真实性、完整性和合法性负责。</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第八条</w:t>
      </w:r>
      <w:r>
        <w:rPr>
          <w:rFonts w:hint="eastAsia" w:ascii="方正仿宋简体" w:hAnsi="方正仿宋简体" w:eastAsia="方正仿宋简体" w:cs="方正仿宋简体"/>
          <w:bCs/>
          <w:iCs/>
          <w:sz w:val="26"/>
          <w:szCs w:val="26"/>
        </w:rPr>
        <w:t>国有资产监督管理机构及其授权的国有单位按照各自职责权限办理资产评估项目核准或备案程序。</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（一）经各级人民政府批准经济行为的事项涉及的国有 资产评估项目，由其授权的国有资产监督管理机构负责核准；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（二）经国有资产监督管理机构批准经济行为的事项涉及的国有资产评估项目，由该国有资产监督管理机构负责核准；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（三）经国有单位批准经济行为的事项涉及的国有资产评估项目，由经国有资产监督管理机构授权的国有单位负责备案。</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第九条</w:t>
      </w:r>
      <w:r>
        <w:rPr>
          <w:rFonts w:hint="eastAsia" w:ascii="方正仿宋简体" w:hAnsi="方正仿宋简体" w:eastAsia="方正仿宋简体" w:cs="方正仿宋简体"/>
          <w:bCs/>
          <w:iCs/>
          <w:sz w:val="26"/>
          <w:szCs w:val="26"/>
        </w:rPr>
        <w:t>资产评估项目核准或备案是国有单位办理产权</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登记、股权设置、产权转让等的必要程序。经核准或备案的评估结论在其有效期内作为作价参考依据。</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第三章监督管理与法律责任</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第十条</w:t>
      </w:r>
      <w:r>
        <w:rPr>
          <w:rFonts w:hint="eastAsia" w:ascii="方正仿宋简体" w:hAnsi="方正仿宋简体" w:eastAsia="方正仿宋简体" w:cs="方正仿宋简体"/>
          <w:bCs/>
          <w:iCs/>
          <w:sz w:val="26"/>
          <w:szCs w:val="26"/>
        </w:rPr>
        <w:t>国有资产监督管理机构对国有资产评估依法履行监督职责。国有资产监督管理机构应对国有单位资产评估监管工作进行管理、指导和检查，发现国有单位未执行或者违反相关规定、侵害国有权益的，应当责成其停止相关经济行为，并告知有关评估行政管理部门。</w:t>
      </w:r>
      <w:bookmarkStart w:id="10" w:name="第三章_监督管理与法律责任"/>
      <w:bookmarkEnd w:id="10"/>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第十一条 </w:t>
      </w:r>
      <w:r>
        <w:rPr>
          <w:rFonts w:hint="eastAsia" w:ascii="方正仿宋简体" w:hAnsi="方正仿宋简体" w:eastAsia="方正仿宋简体" w:cs="方正仿宋简体"/>
          <w:bCs/>
          <w:iCs/>
          <w:sz w:val="26"/>
          <w:szCs w:val="26"/>
        </w:rPr>
        <w:t>各级有关评估行政管理部门根据各自职责，对评估机构及其评估师执行国有资产评估业务进行监督。</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（一）对资产评估业务检查过程中发现评估机构和评估师存在的违法、违规行为依法实施行政处罚，并按规定进行通报，依法向社会公开；</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（二）对有关国有单位、评估机构或者评估师在国有资产评估过程中存在违法、违规行为的投诉、举报，应当及时调查处理，并向国有资产监督管理机构及相关当事人反馈处理意见。</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第十二条 </w:t>
      </w:r>
      <w:r>
        <w:rPr>
          <w:rFonts w:hint="eastAsia" w:ascii="方正仿宋简体" w:hAnsi="方正仿宋简体" w:eastAsia="方正仿宋简体" w:cs="方正仿宋简体"/>
          <w:bCs/>
          <w:iCs/>
          <w:sz w:val="26"/>
          <w:szCs w:val="26"/>
        </w:rPr>
        <w:t>各级有关评估行业协会依据各自职责，对评估机构及其评估师执行国有资产评估业务进行自律管理，对会员的违法、违规行为进行自律惩戒。</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第十三条</w:t>
      </w:r>
      <w:r>
        <w:rPr>
          <w:rFonts w:hint="eastAsia" w:ascii="方正仿宋简体" w:hAnsi="方正仿宋简体" w:eastAsia="方正仿宋简体" w:cs="方正仿宋简体"/>
          <w:bCs/>
          <w:iCs/>
          <w:sz w:val="26"/>
          <w:szCs w:val="26"/>
        </w:rPr>
        <w:t xml:space="preserve"> 国有资产评估中各相关当事人有下列情形的，依法承担相应法律责任。</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（一）国有单位发生应当委托评估机构进行评估而未委托的；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国有资产评估的委托人未按规定选择评估机构，索要、收受或者变相索要、收受回扣，串通、唆使评估机构或者评估师出具虚假评估报告，未按规定向评估机构提供权属证明、财务会计信息和其他资料，违法违规使用评估报告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（三）评估机构以恶性压价、支付回扣、虚假宣传，或者贬损、诋毁其他评估机构等不正当手段招揽业务，出具虚假评估报告或者有重大遗漏的评估报告的；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（四）评估师签署虚假评估报告或者签署的评估报告有重大遗漏的，谋取不正当利益的；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（五）国有资产监督管理机构、国有单位、有关评估行政管理部门和评估行业协会工作人员滥用职权、玩忽职守或者徇私舞弊的，依法给予处分；构成犯罪的，依法追究刑事责任。</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bookmarkStart w:id="11" w:name="第四章_附则"/>
      <w:bookmarkEnd w:id="11"/>
      <w:r>
        <w:rPr>
          <w:rFonts w:hint="eastAsia" w:ascii="黑体" w:hAnsi="黑体" w:eastAsia="黑体" w:cs="黑体"/>
          <w:kern w:val="0"/>
          <w:sz w:val="26"/>
          <w:szCs w:val="26"/>
          <w:lang w:val="zh-CN" w:bidi="zh-CN"/>
        </w:rPr>
        <w:t>第四章附则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第十四条</w:t>
      </w:r>
      <w:r>
        <w:rPr>
          <w:rFonts w:hint="eastAsia" w:ascii="方正仿宋简体" w:hAnsi="方正仿宋简体" w:eastAsia="方正仿宋简体" w:cs="方正仿宋简体"/>
          <w:bCs/>
          <w:iCs/>
          <w:sz w:val="26"/>
          <w:szCs w:val="26"/>
        </w:rPr>
        <w:t>涉及国有自然资源资产有偿使用及开采、资产管理、资产损害赔偿等的相关评估办法,由国务院另行规定。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第十五条</w:t>
      </w:r>
      <w:r>
        <w:rPr>
          <w:rFonts w:hint="eastAsia" w:ascii="方正仿宋简体" w:hAnsi="方正仿宋简体" w:eastAsia="方正仿宋简体" w:cs="方正仿宋简体"/>
          <w:bCs/>
          <w:iCs/>
          <w:sz w:val="26"/>
          <w:szCs w:val="26"/>
        </w:rPr>
        <w:t>境外国有资产评估，国有资产监督管理机构和部门另有规定的，可依照其规定执行。</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第十六条</w:t>
      </w:r>
      <w:r>
        <w:rPr>
          <w:rFonts w:hint="eastAsia" w:ascii="方正仿宋简体" w:hAnsi="方正仿宋简体" w:eastAsia="方正仿宋简体" w:cs="方正仿宋简体"/>
          <w:bCs/>
          <w:iCs/>
          <w:sz w:val="26"/>
          <w:szCs w:val="26"/>
        </w:rPr>
        <w:t xml:space="preserve"> 本办法自发布之日起施行。国务院1991年11月16日发布的《国有资产评估管理办法》（国务院令第 91 号）同时废止。</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(六)事业资产清查核实</w:t>
      </w: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rPr>
          <w:color w:val="FF0000"/>
        </w:rPr>
      </w:pPr>
    </w:p>
    <w:p>
      <w:pPr>
        <w:rPr>
          <w:color w:val="0000FF"/>
        </w:rPr>
      </w:pPr>
      <w:r>
        <w:rPr>
          <w:rFonts w:hint="eastAsia" w:ascii="方正小标宋简体" w:eastAsia="方正小标宋简体"/>
          <w:b/>
          <w:sz w:val="32"/>
          <w:szCs w:val="21"/>
        </w:rPr>
        <w:t>关于印发《行政事业单位资产清查核实管理办法》的通知</w:t>
      </w:r>
      <w:r>
        <w:rPr>
          <w:rFonts w:hint="eastAsia"/>
          <w:color w:val="0000FF"/>
        </w:rPr>
        <w:t xml:space="preserve"> </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财资【2016】1号</w:t>
      </w:r>
    </w:p>
    <w:p>
      <w:pPr>
        <w:pStyle w:val="12"/>
        <w:spacing w:line="400" w:lineRule="exact"/>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中央有关部门，国务院各部委、各直属机构，全国人大常委会办公厅，全国政协办公厅，高法院，高检院，各民主党派中央，有关人民团体，有关中央管理企业，各省、自治区、直辖市、计划单列市财政厅（局），新疆生产建设兵团财务局：</w:t>
      </w:r>
    </w:p>
    <w:p>
      <w:pPr>
        <w:pStyle w:val="12"/>
        <w:spacing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为了加强行政事业单位国有资产监督管理，规范行政事业单位资产清查核实工作，我们制定了《行政事业单位资产清查核实管理办法》。现印发你们，请遵照执行。执行中有何问题，请及时向我部反映。</w:t>
      </w:r>
    </w:p>
    <w:p>
      <w:pPr>
        <w:pStyle w:val="12"/>
        <w:spacing w:line="400" w:lineRule="exact"/>
        <w:ind w:right="52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财政部</w:t>
      </w:r>
    </w:p>
    <w:p>
      <w:pPr>
        <w:pStyle w:val="12"/>
        <w:spacing w:line="400" w:lineRule="exact"/>
        <w:ind w:right="52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2016年1月20日</w:t>
      </w:r>
    </w:p>
    <w:p>
      <w:pPr>
        <w:pStyle w:val="12"/>
        <w:spacing w:line="400" w:lineRule="exact"/>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w:t>
      </w:r>
    </w:p>
    <w:p>
      <w:pPr>
        <w:pStyle w:val="12"/>
        <w:spacing w:line="400" w:lineRule="exact"/>
        <w:jc w:val="center"/>
        <w:rPr>
          <w:rFonts w:ascii="方正小标宋简体" w:eastAsia="方正小标宋简体" w:hAnsiTheme="minorHAnsi" w:cstheme="minorBidi"/>
          <w:b/>
          <w:kern w:val="2"/>
          <w:sz w:val="32"/>
          <w:szCs w:val="21"/>
        </w:rPr>
      </w:pPr>
      <w:r>
        <w:rPr>
          <w:rFonts w:hint="eastAsia" w:ascii="方正小标宋简体" w:eastAsia="方正小标宋简体" w:hAnsiTheme="minorHAnsi" w:cstheme="minorBidi"/>
          <w:b/>
          <w:kern w:val="2"/>
          <w:sz w:val="32"/>
          <w:szCs w:val="21"/>
        </w:rPr>
        <w:t>行政事业单位资产清查核实管理办法</w:t>
      </w:r>
    </w:p>
    <w:p>
      <w:pPr>
        <w:pStyle w:val="12"/>
        <w:spacing w:line="400" w:lineRule="exact"/>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第一章 总则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加强行政事业单位国有资产管理，规范行政事业单位资产清查核实工作（以下简称清查核实），真实反映行政事业单位的资产及财务状况，保障行政事业单位国有资产的安全完整，根据《行政单位国有资产管理暂行办法》（财政部令第35号）、《事业单位国有资产管理暂行办法》（财政部令第36号）和国家有关规定，制定本办法。</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本办法所称行政事业单位资产清查，是指各级政府及其财政部门、主管部门和行政事业单位，根据专项工作要求或者特定经济行为需要，按照规定的政策、工作程序和方法，对行政事业单位进行账务清理、财产清查，依法认定各项资产损溢和资金挂账，真实反映行政事业单位国有资产占有使用状况的工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行政事业单位有下列情形之一的，应当进行资产清查：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（一）根据国家专项工作要求或者本级政府及其财政部门实际工作需要，被纳入统一组织的资产清查范围的。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（二）进行重大改革或者改制的。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（三）遭受重大自然灾害等不可抗力造成资产严重损失的。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（四）会计信息严重失真或者国有资产出现重大流失的。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（五）会计政策发生重大变更，涉及资产核算方法发生重要变化的。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（六）财政部门、主管部门认为应当进行资产清查的其他情形。</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本办法所称行政事业单位资产核实，是指财政部门和主管部门根据国家资产清查核实政策和有关财务、会计制度，对行政事业单位资产清查工作中认定的资产盘盈、资产损失和资金挂账等进行认定批复，并对资产总额进行确认的工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执行行政或者事业单位财务、会计制度的各级各类行政事业单位和社会团体的清查核实适用本办法。</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第五条 </w:t>
      </w:r>
      <w:r>
        <w:rPr>
          <w:rFonts w:hint="eastAsia" w:ascii="方正仿宋简体" w:hAnsi="方正仿宋简体" w:eastAsia="方正仿宋简体" w:cs="方正仿宋简体"/>
          <w:sz w:val="26"/>
          <w:szCs w:val="26"/>
        </w:rPr>
        <w:t>清查核实由财政部门、主管部门和行政事业单位按照“统一政策、分级管理”的原则组织实施。财政部门、主管部门和行政事业单位在规定权限内对资产盘盈、资产损失和资金挂账等事项进行处理，国家另有规定的，依照其规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清查核实应当依托行政事业单位资产管理信息系统（以下简称信息系统）开展。</w:t>
      </w:r>
    </w:p>
    <w:p>
      <w:pPr>
        <w:pStyle w:val="12"/>
        <w:spacing w:before="0" w:beforeAutospacing="0" w:after="0" w:afterAutospacing="0" w:line="400" w:lineRule="exact"/>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第二章 管理职责</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财政部的主要职责是：</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（一）制定全国行政事业单位资产清查核实制度，并组织实施和监督检查。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（二）负责中央级行政事业单位资产清查立项申请的批复（备案）。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（三）负责审核中央级行政事业单位资产清查结果，并汇总全国（含本级）行政事业单位资产清查结果。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（四）按照规定权限审批中央级行政事业单位资产盘盈、资产损失和资金挂账等事项。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（五）指导地方财政部门开展行政事业单位清查核实工作。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地方各级财政部门的主要职责是：</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根据国家及上级财政部门有关行政事业单位资产清查核实的规定和工作需要，制定本地区和本级行政事业单位资产清查核实规章制度，组织开展本地区和本级行政事业单位资产清查核实工作，并负责监督检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（二）负责本级行政事业单位资产清查立项申请的批复（备案）。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（三）负责审核本级行政事业单位资产清查结果，并汇总本地区（含本级）行政事业单位资产清查结果，及时向上级财政部门报告工作情况。</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（四）按照规定权限审批本级行政事业单位资产盘盈、资产损失和资金挂账等事项。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（五）指导下级财政部门开展行政事业单位清查核实工作。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主管部门的主要职责是：</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（一）负责审批或者提出本部门所属行政事业单位的资产清查立项申请。</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（二）负责指导本部门所属行政事业单位制定资产清查实施方案，并对所属行政事业单位资产清查工作进行监督检查。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（三）按照规定权限审核或者审批本部门行政事业单位资产盘盈、资产损失和资金挂账等事项。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（四）负责审核汇总本部门所属行政事业单位资产清查结果，并向同级财政部门报送资产清查报告。</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（五）根据有关部门出具的资产核实批复文件，指导和监督本部门所属行政事业单位调整信息系统相关数据并进行账务处理。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第十条 </w:t>
      </w:r>
      <w:r>
        <w:rPr>
          <w:rFonts w:hint="eastAsia" w:ascii="方正仿宋简体" w:hAnsi="方正仿宋简体" w:eastAsia="方正仿宋简体" w:cs="方正仿宋简体"/>
          <w:sz w:val="26"/>
          <w:szCs w:val="26"/>
        </w:rPr>
        <w:t>行政事业单位的主要职责是：</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（一）向主管部门提出资产清查立项申请。</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（二）负责制定本单位资产清查实施方案，具体组织开展资产清查工作，并向主管部门报送资产清查结果。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（三）根据有关部门出具的资产核实批复文件，调整信息系统相关数据，进行账务处理，并报主管部门备案。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（四）负责办理相关资产管理手续。</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财政部门、主管部门或行政事业单位组织开展行政事业单位资产清查核实，应当明确内部工作机构。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行政事业单位因自身工作需要，定期或者不定期对资产进行的清查盘点，不需要报经财政部门或者主管部门审批。</w:t>
      </w:r>
    </w:p>
    <w:p>
      <w:pPr>
        <w:pStyle w:val="12"/>
        <w:spacing w:before="0" w:beforeAutospacing="0" w:after="0" w:afterAutospacing="0" w:line="400" w:lineRule="exact"/>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第三章 资产清查的程序、内容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资产清查工作根据组织主体不同，分别按照以下程序进行：</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由各级政府及其财政部门组织开展的资产清查工作。由各级政府及其财政部门统一部署，明确清查范围、基准日等。行政事业单位在主管部门、同级财政部门的监督指导下明确本单位资产清查工作机构，制定资产清查工作实施方案，根据方案组织清查，必要时可委托社会中介机构对清查结果进行专项审计，并形成资产清查报告按规定逐级上报。财政部门和主管部门对报送的资产清查结果进行审核确认。</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由各主管部门组织开展的资产清查工作。主管部门应当向同级财政部门提出资产清查立项申请，说明资产清查的原因，明确清查范围和基准日等内容，经同级财政部门同意立项后按照本条第一项规定程序组织实施。</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由行政事业单位组织开展的资产清查工作。行政事业单位应当向主管部门提出资产清查立项申请，说明资产清查的原因，明确清查范围和基准日等内容，经主管部门同意立项后，在主管部门的监督指导下明确本单位资产清查工作机构，制定实施方案，根据方案组织清查，必要时可委托社会中介机构对清查结果进行专项审计，并形成资产清查报告按规定逐级上报至主管部门审核确认。</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行政事业单位可以委托依法设立的，具备与所承担工作相适应的专业人员和专业胜任能力的会计师事务所等社会中介机构对资产清查结果进行专项审计。财政部门或者主管部门认为必要时，可以直接委托社会中介机构对资产清查结果进行专项审计或复核。</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资产清查工作专项审计费用，按照“谁委托，谁付费”的原则，由委托方承担。</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涉密单位资产清查结果可由内审机构开展审计。如确需社会中介机构进行专项审计的，应当按照国家保密管理的规定做好保密工作。</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资产清查工作内容主要包括单位基本情况清理、账务清理、财产清查和完善制度等。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单位基本情况清理是指对应当纳入资产清查工作范围的所属单位户数、机构及人员状况等基本情况进行全面清理。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账务清理是指对行政事业单位的各种银行账户、各类库存现金、有价证券、各项资金往来和会计核算科目等基本账务情况进行全面核对和清理。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财产清查是指对行政事业单位的各项资产进行全面的清理、核对和查实。行政事业单位对清查出的各种资产盘盈、损失和资金挂账应当按照资产清查要求进行分类，提出相关处理建议。</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完善制度是指针对资产清查工作中发现的问题，进行全面总结、认真分析，提出相应整改措施和实施计划，建立健全资产管理制度。</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行政事业单位资产清查报告主要包括下列内容：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（一）工作报告。主要反映本单位的资产清查工作基本情况和结果，应当包括本单位资产清查的基准日、范围、内容、结果，基准日资产及财务状况，对清查中发现的问题的整改措施和实施计划。</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（二）清查报表。按照规定在信息系统中填报的资产清查报表及相关纸质报表。</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（三）专项审计报告。社会中介机构对行政事业单位资产清查结果出具的经注册会计师签字的专项审计报告。</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（四）证明材料。清查出的资产盘盈、资产损失和资金挂账等的相关凭证资料和具有法律效力的证明材料。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（五）其他需要提供的备查材料。</w:t>
      </w:r>
    </w:p>
    <w:p>
      <w:pPr>
        <w:pStyle w:val="12"/>
        <w:spacing w:before="0" w:beforeAutospacing="0" w:after="0" w:afterAutospacing="0" w:line="400" w:lineRule="exact"/>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第四章 资产盘盈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资产盘盈是指行政事业单位在资产清查基准日无账面记载，但单位实际占有使用的能以货币计量的经济资源，包括货币资金盘盈、存货盘盈、对外投资盘盈、固定资产盘盈、无形资产盘盈、往来款项盘盈等。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货币资金盘盈是指行政事业单位清查出的无账面记载或者反映的现金和各类存款等，具体按照以下方式认定：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（一）现金盘盈，根据现金保管人确认的现金盘点情况（包括倒推至基准日的记录）和现金保管人对于现金盘盈的说明等进行认定。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（二）存款盘盈，根据银行对账单和银行存款余额调节表进行认定。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存货盘盈是指行政事业单位清查出的无账面记载或者反映的材料、燃料、包装物、低值易耗品及达不到固定资产标准的用具、装具、动植物等。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存货盘盈根据存货明细表和保管人对于盘盈的情况说明、价值确定依据等进行认定。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对外投资盘盈是指行政事业单位清查出的无账面记载或者反映的单位对外投资。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对外投资盘盈，根据对外投资合同（协议）、价值确定依据、情况说明等进行认定。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固定资产盘盈是指行政事业单位清查出的无账面记载或者反映的固定资产。</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固定资产盘盈根据固定资产盘点单、盘盈情况说明、盘盈价值确定依据（同类资产的市场价格、类似资产的购买合同、发票或竣工决算资料）等进行认定。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固定资产盘盈按照以下方式处理：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清理出不属于纪检、监察部门规定清退范围的账外固定资产，且长期无偿占有使用的，若产权属于其他行政事业单位的，在当事双方协商一致的基础上，可以按照国家行政事业单位国有资产管理的相关规定办理无偿划拨；若产权属于其他国有企业的，在当事双方协商一致的基础上，可以按照国家国有企业资产管理的相关规定办理无偿划拨；若产权属于其他单位的，应当在尊重产权单位意见的基础上，由当事双方协商解决。如行政事业单位需要收购或租赁该资产的，应当按照市场价值签订转让或租赁合同，并按照规定程序上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（二）清查出的因历史原因而无法入账的无主财产，依法确认为国有资产的，应当及时入账，纳入国有资产管理范围。</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（三）清查出的已投入使用但尚未办理决算手续的固定资产，按照估计价值入账，待确定实际成本后再进行调整。</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无形资产盘盈是指行政事业单位清查出的无账面记载或者反映的无形资产。</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无形资产盘盈根据无形资产盘点单、盘盈情况说明、盘盈价值确定依据（同类资产的市场价格、类似资产的购买合同、发票或自行开发资料）等进行认定。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应收票据、应收账款和预付账款等往来款项盘盈是指行政事业单位清查出的无账面记载或者反映的应收票据、应收账款和预付账款等往来款项。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应收票据、应收账款和预付账款等往来款项盘盈，根据清查明细表、盘盈情况说明、与对方单位的对账单或询证函等进行认定。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对于清查出来的缺乏价值确定依据的盘盈资产，可以委托具有专业胜任能力的资产评估机构进行资产评估，以评估值作为价值确定依据，没有相关凭据也未经评估的，应当按照名义金额（即人民币1元）入账。</w:t>
      </w:r>
    </w:p>
    <w:p>
      <w:pPr>
        <w:pStyle w:val="12"/>
        <w:spacing w:before="0" w:beforeAutospacing="0" w:after="0" w:afterAutospacing="0" w:line="400" w:lineRule="exact"/>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第五章 资产损失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资产损失是指行政事业单位在资产清查基准日有账面记载，但实际发生的短少、毁损、被盗或者丧失使用价值的，能以货币计量的经济资源，包括货币资金损失、坏账损失、存货损失、对外投资损失、固定资产损失、无形资产损失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行政事业单位清查出的资产损失应当逐项清理，取得合法证据后，对损失项目及金额按照规定进行认定。对已取得具有法律效力的外部证据，而无法确定损失金额的，根据社会中介机构出具的经济鉴证证明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货币资金损失是指行政事业单位清查出的现金短缺和各类存款损失等。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现金短缺，在扣除责任人赔偿后，根据现金盘点情况（包括倒推至基准日的记录）、社会中介机构出具的经济鉴证证明、短款说明及核准文件、赔偿责任认定及说明、司法涉案材料等进行认定。各类存款损失的认定比照执行。</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坏账损失是指行政事业单位清查出的不能收回的各项应收款项造成的损失。清查出的各项坏账，应当分析原因，对有合法证据证明确实不能收回的应收款项，按照以下方式处理：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因债务人被宣告破产、撤销注销工商登记或者被政府责令关闭等导致无法收回的应收款项，应当根据法院的破产公告、破产清算文件、工商部门的撤销注销证明、政府部门有关文件等进行认定。已经清算的，应当对扣除清偿部分后不能收回的款项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（二）债务人死亡或者依法被宣告失踪、死亡，其财产或者遗产不足清偿且没有继承人的应收款项，应当在取得相关法律文件后认定为损失。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（三）因不可抗力因素（自然灾害、意外事故）无法收回的应收款项，由单位做出专项说明，可以根据社会中介机构出具的经济鉴证证明认定损失。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（四）涉诉的应收款项，已生效的人民法院判决书、裁定书判定、裁定其败诉的，或者虽然胜诉但因无法执行被裁定终止执行的，认定为损失。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逾期3年的应收款项，具有依法催收磋商记录，并且能够确认3年内没有任何业务往来的，应当根据社会中介机构出具的经济鉴证证明，在扣除应付该债务人的各种款项和有关责任人员的赔偿后的余额，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逾期3年的应收款项，债务人在国外及我国香港、澳门、台湾地区的，经依法催收仍未收回，且在3年内没有任何业务往来的，在取得境外社会中介机构出具的终止收款意见书，或者取得我国驻外使(领)馆商务机构出具的债务人逃亡、破产证明后，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（七）逾期3年以上、单笔数额较小、不足以弥补清收成本的，由单位作出专项说明，根据社会中介机构出具的经济鉴证证明认定损失。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存货损失是指行政事业单位材料、燃料、包装物、低值易耗品及达不到固定资产标准的用具、装具、动植物等因盘亏、毁损、报废、被盗等原因造成的损失。具体按以下方式认定：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（一）盘亏的存货，扣除责任人赔偿后的部分，可以根据存货盘点单、社会中介机构出具的经济鉴证证明、盘亏情况说明、盘亏的价值确定依据、赔偿责任认定说明和内部核批文件等认定损失。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毁损、报废的存货，扣除残值及保险赔偿或责任人赔偿后的部分，可以根据国家有关技术鉴定部门或具有技术鉴定资格的社会中介机构出具的技术鉴定证明（涉及保险索赔的应当有保险公司理赔情况说明）、毁损报废说明、赔偿责任认定说明和内部核批文件等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（三）被盗的存货，扣除保险理赔及责任人赔偿后的部分，可以根据公安机关案件受理证明或结案证明、责任认定及赔偿情况说明（涉及保险索赔的应当有保险公司理赔情况说明）认定损失。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对外投资损失，应当分析原因，有合法证据证明确实不能收回的，区分以下情况可以认定损失：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因被投资单位已宣告破产、被撤销注销工商登记或者被政府责令关闭等情况造成难以收回的对外投资，可以根据法院的破产公告或者破产清算的清偿文件、工商部门的撤销注销文件、政府有关部门的行政决定等认定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已经清算的，扣除清算资产清偿后的差额部分，可以认定为损失。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尚未清算的，被投资单位剩余资产确实不足清偿投资的差额部分，根据社会中介机构出具的经济鉴证证明，认定为损失。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（二）对事业单位参股投资、金额较小、不具有控制权的对外投资，被投资单位已资不抵债且连续停止经营3年以上的，根据社会中介机构出具的经济鉴证证明，对确实不能收回的部分，认定为损失。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（三）债券等短期投资，未进行交割或清理的，不能认定为损失。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第三十二条</w:t>
      </w:r>
      <w:r>
        <w:rPr>
          <w:rFonts w:hint="eastAsia" w:ascii="方正仿宋简体" w:hAnsi="方正仿宋简体" w:eastAsia="方正仿宋简体" w:cs="方正仿宋简体"/>
          <w:sz w:val="26"/>
          <w:szCs w:val="26"/>
        </w:rPr>
        <w:t xml:space="preserve"> 固定资产损失是指行政事业单位房屋及构筑物、通用设备、专用设备、文物和陈列品、图书档案、家具用具装具及动植物等因盘亏、毁损、报废、被盗等原因造成的损失。具体按以下方式认定：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（一）盘亏的固定资产，扣除责任人赔偿后的差额部分，可以根据固定资产盘点单、盘亏情况说明、盘亏的价值确定依据、社会中介机构出具的经济鉴证证明、赔偿责任认定说明和内部核批文件等认定。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毁损、报废的固定资产，扣除残值、保险赔偿和责任人赔偿后的差额部分，可以根据国家有关技术鉴定部门或具有技术鉴定资格的社会中介机构出具的技术鉴定证明（涉及保险索赔的应当有保险公司的出险调查单和理赔计算单、保险公司理赔情况说明）、毁损报废说明、赔偿责任认定说明和内部核批文件等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因不可抗力因素（自然灾害、意外事故）造成固定资产毁损、报废的，应当依据相关部门出具的事故处理报告、车辆报损证明、房屋拆除证明、受灾证明等鉴定报告认定。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被盗的固定资产，扣除保险理赔及责任人赔偿后的部分，可以根据公安机关案件受理证明或结案证明、责任认定及赔偿情况说明（涉及保险索赔的应当有保险公司的出险调查单和理赔计算单、保险公司理赔情况说明）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无形资产损失是指无形资产因被其他新技术所代替或者已经超过了法律保护的期限、丧失了使用价值和转让价值等所造成的损失。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无形资产损失，可以根据有关技术部门的鉴定材料，或者已经超过了法律保护期限的证明文件等认定。</w:t>
      </w:r>
    </w:p>
    <w:p>
      <w:pPr>
        <w:pStyle w:val="12"/>
        <w:spacing w:before="0" w:beforeAutospacing="0" w:after="0" w:afterAutospacing="0" w:line="400" w:lineRule="exact"/>
        <w:ind w:firstLine="520" w:firstLineChars="200"/>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第六章 资金挂账</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资金挂账是指行政事业单位在资产清查基准日应当按照损益、收支进行确认处理，但挂账未确认的资金（资产）数额。对于清查出的资金挂账，按照真实客观反映经济状况的原则进行认定。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特殊资金挂账按照以下方式处理：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（一）属于按照国家规定组织实施住房制度改革，职工住房账面价值、资产基金（非流动资产基金）应当冲减而未冲减的挂账，在按照国家规定办理房改有关合法手续、移交产权后，按照规定核销。</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（二）属于对外投资中由于所办企业按照国家要求脱钩等政策性因素造成的损失挂账，在取得国家关于企业脱钩的文件和产权划转文件后，可在办理资产核实手续时申报核销处理。</w:t>
      </w:r>
    </w:p>
    <w:p>
      <w:pPr>
        <w:pStyle w:val="12"/>
        <w:spacing w:before="0" w:beforeAutospacing="0" w:after="0" w:afterAutospacing="0" w:line="400" w:lineRule="exact"/>
        <w:ind w:firstLine="520" w:firstLineChars="200"/>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第七章 资产核实的程序、管理权限和申报内容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第三十六条</w:t>
      </w:r>
      <w:r>
        <w:rPr>
          <w:rFonts w:hint="eastAsia" w:ascii="方正仿宋简体" w:hAnsi="方正仿宋简体" w:eastAsia="方正仿宋简体" w:cs="方正仿宋简体"/>
          <w:sz w:val="26"/>
          <w:szCs w:val="26"/>
        </w:rPr>
        <w:t xml:space="preserve"> 行政事业单位资产核实的一般程序：</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应当依据资产清查出的资产盘盈、资产损失和资金挂账等事项，搜集整理相关证明材料，提出处理意见并逐级向主管部门提出资产核实的申请报告。各单位应当对所报送材料的真实性、合规性和完整性负责。</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（二）主管部门按照规定权限进行合规性和完整性审核（审批）同意后，报同级财政部门审批（备案）。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（三）财政部门按照规定权限进行审批（备案）。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（四）行政事业单位依据有关部门对资产盘盈、资产损失和资金挂账的批复,调整信息系统相关数据并进行账务处理。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（五）财政部门、主管部门和行政事业单位结合清查核实中发现的问题完善相关制度。</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第三十七条 </w:t>
      </w:r>
      <w:r>
        <w:rPr>
          <w:rFonts w:hint="eastAsia" w:ascii="方正仿宋简体" w:hAnsi="方正仿宋简体" w:eastAsia="方正仿宋简体" w:cs="方正仿宋简体"/>
          <w:sz w:val="26"/>
          <w:szCs w:val="26"/>
        </w:rPr>
        <w:t>行政事业单位资产核实的管理权限按照本办法第三十八条、第三十九条规定执行。根据各级政府及其财政部门专项工作要求开展的资产清查工作，有关资产核实的审批权限，可以根据资产清查工作的实际需要另行确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第三十八条</w:t>
      </w:r>
      <w:r>
        <w:rPr>
          <w:rFonts w:hint="eastAsia" w:ascii="方正仿宋简体" w:hAnsi="方正仿宋简体" w:eastAsia="方正仿宋简体" w:cs="方正仿宋简体"/>
          <w:sz w:val="26"/>
          <w:szCs w:val="26"/>
        </w:rPr>
        <w:t xml:space="preserve"> 中央级行政事业单位资产核实的管理权限：</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（一）资产盘盈。单位应当按照财务、会计制度的有关规定确定价值，并在资产清查工作报告中予以说明，报经主管部门批准，并报财政部备案后调整有关账目。</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资产损失。货币性资产损失核销、对外投资损失，单位应当逐级上报，经财政部批准后调整有关账目。行政单位的固定资产、无形资产和存货损失，按照现行管理制度中规定的资产处置权限进行审批。事业单位房屋构筑物、土地和车辆损失，单位应当逐级上报，经财政部批准后核销。其他固定资产、无形资产和存货的损失，按照现行管理制度中规定的资产处置权限进行审批。</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（三）资金挂账，单位应当逐级上报，经财政部批准后调整有关账目。</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中央级行政事业单位申请的资产核实事项中，既包括财政部审批权限内资产的，也包括主管部门审批权限内资产的，应当统一报送财政部。</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第三十九条</w:t>
      </w:r>
      <w:r>
        <w:rPr>
          <w:rFonts w:hint="eastAsia" w:ascii="方正仿宋简体" w:hAnsi="方正仿宋简体" w:eastAsia="方正仿宋简体" w:cs="方正仿宋简体"/>
          <w:sz w:val="26"/>
          <w:szCs w:val="26"/>
        </w:rPr>
        <w:t xml:space="preserve"> 地方行政事业单位资产核实管理权限，由地方各级财政部门根据实际情况自行确定。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第四十条</w:t>
      </w:r>
      <w:r>
        <w:rPr>
          <w:rFonts w:hint="eastAsia" w:ascii="方正仿宋简体" w:hAnsi="方正仿宋简体" w:eastAsia="方正仿宋简体" w:cs="方正仿宋简体"/>
          <w:sz w:val="26"/>
          <w:szCs w:val="26"/>
        </w:rPr>
        <w:t xml:space="preserve"> 行政事业单位的资产核实申报事项应当提交以下材料：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（一）资产损溢、资金挂账核实申请文件。</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（二）信息系统生成打印的行政事业单位国有资产清查报表。</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（三）信息系统生成打印的行政事业单位国有资产损溢、资金挂账核实申请表。</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（四）申报处理资产盘盈、资产损失和资金挂账的专项说明，逐笔写明发生日期、损失原因、政策依据、处理方式，并分类列示。</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（五）根据申报核实的事项，提供相应的具有法律效力的外部证据、社会中介机构出具的经济鉴证证明、特定事项的单位内部证据等证明材料。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法律效力的外部证据是指行政事业单位收集到的与本单位资产损溢相关的具有法律效力的书面文件，包括单位的撤销、合并公告及清偿文件；政府部门有关文件；司法机关的判决或者裁定；公安机关的案件受理证明或结案证明；工商行政管理部门的注销证明；专业技术部门的鉴定报告；保险公司的出险调查单和理赔计算单；企业的破产公告及破产清算的清偿文件；符合法律规定的其他证明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社会中介机构的经济鉴证证明是指具备与所承担工作相适应的专业人员和专业胜任能力的会计师事务所、资产评估机构、律师事务所、专业鉴定机构等社会中介机构按照独立、客观、公正的原则，对单位的某项经济事项出具的专项经济鉴证证明或鉴证意见书。资产损失和资金挂账应当委托社会中介机构出具经济鉴证证明，涉及国家安全的特殊单位、特殊事项和已取得具有法律效力的外部证据的事项除外。</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特定事项的单位内部证据是指行政事业单位对涉及资产盘盈、资产损失和资金挂账等情况的内部证明和内部鉴定意见书等，包括有关会计核算资料和原始凭证；行政事业单位的内部核批文件及情况说明；资产盘点单和明细表；行政事业单位内部鉴定技术小组或内部专业技术部门的鉴定文件或资料；因经营管理责任造成的损失的责任认定意见及赔偿情况说明；相关经济行为的业务合同等；符合法律规定的其他证明等。</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（六）其他需要提供的材料。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第四十一条</w:t>
      </w:r>
      <w:r>
        <w:rPr>
          <w:rFonts w:hint="eastAsia" w:ascii="方正仿宋简体" w:hAnsi="方正仿宋简体" w:eastAsia="方正仿宋简体" w:cs="方正仿宋简体"/>
          <w:sz w:val="26"/>
          <w:szCs w:val="26"/>
        </w:rPr>
        <w:t xml:space="preserve"> 行政事业单位经批准核销的不良债权、对外投资等损失，实行“账销案存”管理，相关资料、凭证应当专项登记，并继续进行清理和追索。经批准核销的实物资产损失应当分类清理，对有利用价值或残值的，应当积极处理，降低损失。</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第四十二条</w:t>
      </w:r>
      <w:r>
        <w:rPr>
          <w:rFonts w:hint="eastAsia" w:ascii="方正仿宋简体" w:hAnsi="方正仿宋简体" w:eastAsia="方正仿宋简体" w:cs="方正仿宋简体"/>
          <w:sz w:val="26"/>
          <w:szCs w:val="26"/>
        </w:rPr>
        <w:t xml:space="preserve"> 行政事业单位清查出的由于会计技术差错造成的资产不实，不属于资产盘盈、资产损失和资金挂账的认定范围，应当依据单位财务、会计制度有关规定处理。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第四十三条</w:t>
      </w:r>
      <w:r>
        <w:rPr>
          <w:rFonts w:hint="eastAsia" w:ascii="方正仿宋简体" w:hAnsi="方正仿宋简体" w:eastAsia="方正仿宋简体" w:cs="方正仿宋简体"/>
          <w:sz w:val="26"/>
          <w:szCs w:val="26"/>
        </w:rPr>
        <w:t xml:space="preserve"> 申报不合规，证据不齐全、不真实，或者不符合相关制度规定的资产盘盈、资产损失、资金挂账事项，主管部门和财政部门不予核实。</w:t>
      </w:r>
    </w:p>
    <w:p>
      <w:pPr>
        <w:pStyle w:val="12"/>
        <w:spacing w:before="0" w:beforeAutospacing="0" w:after="0" w:afterAutospacing="0" w:line="400" w:lineRule="exact"/>
        <w:ind w:firstLine="520" w:firstLineChars="200"/>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第八章 账务处理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第四十四条</w:t>
      </w:r>
      <w:r>
        <w:rPr>
          <w:rFonts w:hint="eastAsia" w:ascii="方正仿宋简体" w:hAnsi="方正仿宋简体" w:eastAsia="方正仿宋简体" w:cs="方正仿宋简体"/>
          <w:sz w:val="26"/>
          <w:szCs w:val="26"/>
        </w:rPr>
        <w:t xml:space="preserve"> 资产盘盈、资产损失和资金挂账批复前，行政事业单位应当按照以下原则进行账务处理：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（一）财政部门批复（备案）前的资产盘盈（含账外资产）可以按照财务、会计制度的有关规定暂行入账。待财政部门批复（备案）后，进行账务调整和处理。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（二）财政部门批复（备案）前的资产损失和资金挂账，单位不得自行进行账务处理。待财政部门批复（备案）后，进行账务处理。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第四十五条</w:t>
      </w:r>
      <w:r>
        <w:rPr>
          <w:rFonts w:hint="eastAsia" w:ascii="方正仿宋简体" w:hAnsi="方正仿宋简体" w:eastAsia="方正仿宋简体" w:cs="方正仿宋简体"/>
          <w:sz w:val="26"/>
          <w:szCs w:val="26"/>
        </w:rPr>
        <w:t xml:space="preserve"> 资产盘盈、资产损失和资金挂账批复后，行政事业单位按照国家统一的财务、会计制度进行账务处理，并在批复之日起30个工作日内将账务处理结果报主管部门备案。未按照规定调账的，应当详细说明情况并附相关证明材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第四十六条 </w:t>
      </w:r>
      <w:r>
        <w:rPr>
          <w:rFonts w:hint="eastAsia" w:ascii="方正仿宋简体" w:hAnsi="方正仿宋简体" w:eastAsia="方正仿宋简体" w:cs="方正仿宋简体"/>
          <w:sz w:val="26"/>
          <w:szCs w:val="26"/>
        </w:rPr>
        <w:t>行政事业单位需要办理产权变动登记手续的，在资产核实审批后，按照有关规定办理相关手续。</w:t>
      </w:r>
    </w:p>
    <w:p>
      <w:pPr>
        <w:pStyle w:val="12"/>
        <w:spacing w:before="0" w:beforeAutospacing="0" w:after="0" w:afterAutospacing="0" w:line="400" w:lineRule="exact"/>
        <w:ind w:firstLine="520" w:firstLineChars="200"/>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第九章 监督和管理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第四十七条</w:t>
      </w:r>
      <w:r>
        <w:rPr>
          <w:rFonts w:hint="eastAsia" w:ascii="方正仿宋简体" w:hAnsi="方正仿宋简体" w:eastAsia="方正仿宋简体" w:cs="方正仿宋简体"/>
          <w:sz w:val="26"/>
          <w:szCs w:val="26"/>
        </w:rPr>
        <w:t xml:space="preserve"> 财政部门、主管部门应当加强对行政事业单位清查核实的组织指导和监督检查，可以结合工作需要组织相关专业人员或委托社会中介机构，对单位资产清查核实结果进行检查或抽查。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第四十八条</w:t>
      </w:r>
      <w:r>
        <w:rPr>
          <w:rFonts w:hint="eastAsia" w:ascii="方正仿宋简体" w:hAnsi="方正仿宋简体" w:eastAsia="方正仿宋简体" w:cs="方正仿宋简体"/>
          <w:sz w:val="26"/>
          <w:szCs w:val="26"/>
        </w:rPr>
        <w:t xml:space="preserve"> 财政部门、主管部门对行政事业单位有关资产清查结果的审核和资产损溢、资金挂账的认定，应当严格执行国家有关法律、法规、规章和有关财务、会计制度规定，依法办事，严格把关，严肃工作纪律。</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第四十九条</w:t>
      </w:r>
      <w:r>
        <w:rPr>
          <w:rFonts w:hint="eastAsia" w:ascii="方正仿宋简体" w:hAnsi="方正仿宋简体" w:eastAsia="方正仿宋简体" w:cs="方正仿宋简体"/>
          <w:sz w:val="26"/>
          <w:szCs w:val="26"/>
        </w:rPr>
        <w:t xml:space="preserve"> 主管部门应当对行政事业单位资产清查结果进行认真复核，保证资产清查结果的全面、准确和合规。</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第五十条</w:t>
      </w:r>
      <w:r>
        <w:rPr>
          <w:rFonts w:hint="eastAsia" w:ascii="方正仿宋简体" w:hAnsi="方正仿宋简体" w:eastAsia="方正仿宋简体" w:cs="方正仿宋简体"/>
          <w:sz w:val="26"/>
          <w:szCs w:val="26"/>
        </w:rPr>
        <w:t xml:space="preserve"> 行政事业单位进行资产清查，应当做到账表、账账、账卡、账实相符，不重不漏，查清资产来源、去向和管理情况，找出管理中存在的问题，完善制度、堵塞管理漏洞。</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第五十一条</w:t>
      </w:r>
      <w:r>
        <w:rPr>
          <w:rFonts w:hint="eastAsia" w:ascii="方正仿宋简体" w:hAnsi="方正仿宋简体" w:eastAsia="方正仿宋简体" w:cs="方正仿宋简体"/>
          <w:sz w:val="26"/>
          <w:szCs w:val="26"/>
        </w:rPr>
        <w:t xml:space="preserve"> 行政事业单位聘请社会中介机构参与清查核实，应当要求社会中介机构按照独立、客观、公正的原则，履行必要的程序，认真核实单位各项资产清查材料，并按照规定进行实物盘点和账务核对，对资产清查结果出具专项审计报告。对需要出具经济鉴证证明的资产核实事项，应当要求社会中介机构按照国家资产清查核实政策和有关财务、会计制度的相关规定，在充分调查论证的基础上进行职业推断和客观评判，出具鉴证意见。</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社会中介机构应当对行政事业单位资产清查专项审计报告、经济鉴证证明的真实性、准确性、完整性承担责任，严格履行保密义务。</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行政事业单位应当配合社会中介机构的工作，提供进行专项审计及相关工作必需的资料和线索。任何单位和个人不得干预社会中介机构的正常执业。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第五十二条 </w:t>
      </w:r>
      <w:r>
        <w:rPr>
          <w:rFonts w:hint="eastAsia" w:ascii="方正仿宋简体" w:hAnsi="方正仿宋简体" w:eastAsia="方正仿宋简体" w:cs="方正仿宋简体"/>
          <w:sz w:val="26"/>
          <w:szCs w:val="26"/>
        </w:rPr>
        <w:t>行政事业单位对在资产清查中新形成的资料，要分类整理形成档案，按照国家有关会计档案管理的规定进行管理，并接受国家有关部门的监督。</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第五十三条</w:t>
      </w:r>
      <w:r>
        <w:rPr>
          <w:rFonts w:hint="eastAsia" w:ascii="方正仿宋简体" w:hAnsi="方正仿宋简体" w:eastAsia="方正仿宋简体" w:cs="方正仿宋简体"/>
          <w:sz w:val="26"/>
          <w:szCs w:val="26"/>
        </w:rPr>
        <w:t xml:space="preserve"> 行政事业单位应当对资产清查中发现的资产盘盈、资产损失和资金挂账事项提供合法证据，单位主要负责人应当对申报的资产清查结果的真实性、完整性承担责任。</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第五十四条</w:t>
      </w:r>
      <w:r>
        <w:rPr>
          <w:rFonts w:hint="eastAsia" w:ascii="方正仿宋简体" w:hAnsi="方正仿宋简体" w:eastAsia="方正仿宋简体" w:cs="方正仿宋简体"/>
          <w:sz w:val="26"/>
          <w:szCs w:val="26"/>
        </w:rPr>
        <w:t xml:space="preserve"> 财政部门和主管部门工作人员在对单位清查核实进行审核过程中徇私舞弊，造成严重后果的，由有关部门依法给予行政处分或纪律处分。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第五十五条</w:t>
      </w:r>
      <w:r>
        <w:rPr>
          <w:rFonts w:hint="eastAsia" w:ascii="方正仿宋简体" w:hAnsi="方正仿宋简体" w:eastAsia="方正仿宋简体" w:cs="方正仿宋简体"/>
          <w:sz w:val="26"/>
          <w:szCs w:val="26"/>
        </w:rPr>
        <w:t xml:space="preserve"> 行政事业单位和主管部门在清查核实中违反本办法规定程序的，不组织或不积极组织，未按照时限完成清查核实的，由财政部门责令其限期完成；对清查核实质量不符合规定要求的，由财政部门责令其重新组织开展清查核实；对清查出的问题不及时处理或者拒不完成清查核实的单位，财政部门予以通报。</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第五十六条 </w:t>
      </w:r>
      <w:r>
        <w:rPr>
          <w:rFonts w:hint="eastAsia" w:ascii="方正仿宋简体" w:hAnsi="方正仿宋简体" w:eastAsia="方正仿宋简体" w:cs="方正仿宋简体"/>
          <w:sz w:val="26"/>
          <w:szCs w:val="26"/>
        </w:rPr>
        <w:t>行政事业单位在资产清查核实中有意瞒报、弄虚作假、提供虚假会计资料的，由财政部门责令其改正，并依据《中华人民共和国会计法》等法律、法规规定进行处理。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第五十七条</w:t>
      </w:r>
      <w:r>
        <w:rPr>
          <w:rFonts w:hint="eastAsia" w:ascii="方正仿宋简体" w:hAnsi="方正仿宋简体" w:eastAsia="方正仿宋简体" w:cs="方正仿宋简体"/>
          <w:sz w:val="26"/>
          <w:szCs w:val="26"/>
        </w:rPr>
        <w:t xml:space="preserve"> 行政事业单位负责人和有关工作人员在资产清查核实中，采取私分、低价变卖、虚报损失等手段侵吞、转移国有资产的，由财政部门会同有关部门进行处理。</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第五十八条</w:t>
      </w:r>
      <w:r>
        <w:rPr>
          <w:rFonts w:hint="eastAsia" w:ascii="方正仿宋简体" w:hAnsi="方正仿宋简体" w:eastAsia="方正仿宋简体" w:cs="方正仿宋简体"/>
          <w:sz w:val="26"/>
          <w:szCs w:val="26"/>
        </w:rPr>
        <w:t xml:space="preserve"> 社会中介机构及有关当事人在清查核实中与单位相互串通，弄虚作假、提供虚假鉴证材料的，由财政部门会同有关部门依法查处。</w:t>
      </w:r>
    </w:p>
    <w:p>
      <w:pPr>
        <w:pStyle w:val="12"/>
        <w:spacing w:before="0" w:beforeAutospacing="0" w:after="0" w:afterAutospacing="0" w:line="400" w:lineRule="exact"/>
        <w:ind w:firstLine="520" w:firstLineChars="200"/>
        <w:jc w:val="center"/>
        <w:rPr>
          <w:rFonts w:ascii="黑体" w:hAnsi="黑体" w:eastAsia="黑体" w:cs="黑体"/>
          <w:sz w:val="26"/>
          <w:szCs w:val="26"/>
          <w:lang w:val="zh-CN" w:bidi="zh-CN"/>
        </w:rPr>
      </w:pPr>
      <w:r>
        <w:rPr>
          <w:rFonts w:hint="eastAsia" w:ascii="黑体" w:hAnsi="黑体" w:eastAsia="黑体" w:cs="黑体"/>
          <w:sz w:val="26"/>
          <w:szCs w:val="26"/>
          <w:lang w:val="zh-CN" w:bidi="zh-CN"/>
        </w:rPr>
        <w:t>第十章 附则</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第五十九条</w:t>
      </w:r>
      <w:r>
        <w:rPr>
          <w:rFonts w:hint="eastAsia" w:ascii="方正仿宋简体" w:hAnsi="方正仿宋简体" w:eastAsia="方正仿宋简体" w:cs="方正仿宋简体"/>
          <w:sz w:val="26"/>
          <w:szCs w:val="26"/>
        </w:rPr>
        <w:t xml:space="preserve"> 执行《民间非营利组织会计制度》的社会团体及民办非企业单位中占有、使用国有资产的，参照本制度执行。</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行政单位所属未脱钩企业，实行企业化管理并执行企业财务和会计制度的事业单位，以及事业单位所办的全资企业和控股企业，其国有资产的清查核实工作按照企业清产核资的有关规定执行。</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第六十条</w:t>
      </w:r>
      <w:r>
        <w:rPr>
          <w:rFonts w:hint="eastAsia" w:ascii="方正仿宋简体" w:hAnsi="方正仿宋简体" w:eastAsia="方正仿宋简体" w:cs="方正仿宋简体"/>
          <w:sz w:val="26"/>
          <w:szCs w:val="26"/>
        </w:rPr>
        <w:t xml:space="preserve"> 事业单位代表政府管理的，未纳入本单位核算的政府储备物资、公共基础设施等资产的清查核实办法另行制定。</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第六十一条</w:t>
      </w:r>
      <w:r>
        <w:rPr>
          <w:rFonts w:hint="eastAsia" w:ascii="方正仿宋简体" w:hAnsi="方正仿宋简体" w:eastAsia="方正仿宋简体" w:cs="方正仿宋简体"/>
          <w:sz w:val="26"/>
          <w:szCs w:val="26"/>
        </w:rPr>
        <w:t xml:space="preserve"> 各省、自治区、直辖市和计划单列市财政部门可根据本办法，结合本地区实际，制定具体的实施办法，并报财政部备案。</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第六十二条</w:t>
      </w:r>
      <w:r>
        <w:rPr>
          <w:rFonts w:hint="eastAsia" w:ascii="方正仿宋简体" w:hAnsi="方正仿宋简体" w:eastAsia="方正仿宋简体" w:cs="方正仿宋简体"/>
          <w:sz w:val="26"/>
          <w:szCs w:val="26"/>
        </w:rPr>
        <w:t xml:space="preserve"> 本办法由财政部负责解释。</w:t>
      </w:r>
    </w:p>
    <w:p>
      <w:pPr>
        <w:pStyle w:val="12"/>
        <w:spacing w:before="0" w:beforeAutospacing="0" w:after="0" w:afterAutospacing="0" w:line="400" w:lineRule="exact"/>
        <w:ind w:firstLine="520" w:firstLineChars="200"/>
        <w:jc w:val="both"/>
        <w:rPr>
          <w:rFonts w:ascii="方正仿宋简体" w:hAnsi="方正仿宋简体" w:eastAsia="方正仿宋简体" w:cs="方正仿宋简体"/>
          <w:sz w:val="26"/>
          <w:szCs w:val="26"/>
        </w:rPr>
      </w:pPr>
      <w:r>
        <w:rPr>
          <w:rFonts w:hint="eastAsia" w:ascii="楷体" w:hAnsi="楷体" w:eastAsia="楷体" w:cs="楷体"/>
          <w:sz w:val="26"/>
          <w:szCs w:val="26"/>
        </w:rPr>
        <w:t>第六十三条</w:t>
      </w:r>
      <w:r>
        <w:rPr>
          <w:rFonts w:hint="eastAsia" w:ascii="方正仿宋简体" w:hAnsi="方正仿宋简体" w:eastAsia="方正仿宋简体" w:cs="方正仿宋简体"/>
          <w:sz w:val="26"/>
          <w:szCs w:val="26"/>
        </w:rPr>
        <w:t xml:space="preserve"> 本办法自２０１６年３月１日起施行。《行政事业单位资产清查暂行办法》 （财办[2006]52号）、《行政事业单位资产核实暂行办法》（财办[2007]19号）同时废止。</w:t>
      </w:r>
    </w:p>
    <w:p>
      <w:pPr>
        <w:pStyle w:val="12"/>
        <w:spacing w:before="0" w:beforeAutospacing="0" w:after="0" w:afterAutospacing="0" w:line="400" w:lineRule="exact"/>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附1.行政事业单位国有资产损溢、资金挂账核实申请表</w:t>
      </w:r>
    </w:p>
    <w:p>
      <w:pPr>
        <w:pStyle w:val="12"/>
        <w:spacing w:before="0" w:beforeAutospacing="0" w:after="0" w:afterAutospacing="0" w:line="400" w:lineRule="exact"/>
        <w:jc w:val="both"/>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附2. XX单位资产清查工作报告</w:t>
      </w:r>
    </w:p>
    <w:p>
      <w:pPr>
        <w:spacing w:line="400" w:lineRule="exac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附3. XX地区/部门资产清查工作报告</w:t>
      </w:r>
    </w:p>
    <w:tbl>
      <w:tblPr>
        <w:tblStyle w:val="14"/>
        <w:tblW w:w="13834" w:type="dxa"/>
        <w:tblInd w:w="95" w:type="dxa"/>
        <w:tblLayout w:type="autofit"/>
        <w:tblCellMar>
          <w:top w:w="0" w:type="dxa"/>
          <w:left w:w="108" w:type="dxa"/>
          <w:bottom w:w="0" w:type="dxa"/>
          <w:right w:w="108" w:type="dxa"/>
        </w:tblCellMar>
      </w:tblPr>
      <w:tblGrid>
        <w:gridCol w:w="620"/>
        <w:gridCol w:w="527"/>
        <w:gridCol w:w="1843"/>
        <w:gridCol w:w="1134"/>
        <w:gridCol w:w="216"/>
        <w:gridCol w:w="918"/>
        <w:gridCol w:w="1134"/>
        <w:gridCol w:w="1102"/>
        <w:gridCol w:w="960"/>
        <w:gridCol w:w="206"/>
        <w:gridCol w:w="754"/>
        <w:gridCol w:w="344"/>
        <w:gridCol w:w="616"/>
        <w:gridCol w:w="412"/>
        <w:gridCol w:w="628"/>
        <w:gridCol w:w="506"/>
        <w:gridCol w:w="454"/>
        <w:gridCol w:w="680"/>
        <w:gridCol w:w="780"/>
      </w:tblGrid>
      <w:tr>
        <w:tblPrEx>
          <w:tblCellMar>
            <w:top w:w="0" w:type="dxa"/>
            <w:left w:w="108" w:type="dxa"/>
            <w:bottom w:w="0" w:type="dxa"/>
            <w:right w:w="108" w:type="dxa"/>
          </w:tblCellMar>
        </w:tblPrEx>
        <w:trPr>
          <w:trHeight w:val="735" w:hRule="atLeast"/>
        </w:trPr>
        <w:tc>
          <w:tcPr>
            <w:tcW w:w="13834" w:type="dxa"/>
            <w:gridSpan w:val="19"/>
            <w:tcBorders>
              <w:top w:val="nil"/>
              <w:left w:val="nil"/>
              <w:bottom w:val="nil"/>
              <w:right w:val="nil"/>
            </w:tcBorders>
            <w:shd w:val="clear" w:color="auto" w:fill="auto"/>
            <w:vAlign w:val="center"/>
          </w:tcPr>
          <w:p>
            <w:pPr>
              <w:widowControl/>
              <w:jc w:val="left"/>
              <w:rPr>
                <w:rFonts w:ascii="仿宋_GB2312" w:hAnsi="宋体" w:eastAsia="仿宋_GB2312" w:cs="宋体"/>
                <w:bCs/>
                <w:kern w:val="0"/>
                <w:sz w:val="30"/>
                <w:szCs w:val="30"/>
              </w:rPr>
            </w:pPr>
            <w:r>
              <w:rPr>
                <w:rFonts w:hint="eastAsia" w:ascii="仿宋_GB2312" w:hAnsi="宋体" w:eastAsia="仿宋_GB2312" w:cs="宋体"/>
                <w:bCs/>
                <w:kern w:val="0"/>
                <w:sz w:val="30"/>
                <w:szCs w:val="30"/>
              </w:rPr>
              <w:t>附1：</w:t>
            </w:r>
          </w:p>
          <w:p>
            <w:pPr>
              <w:widowControl/>
              <w:jc w:val="center"/>
              <w:rPr>
                <w:rFonts w:ascii="宋体" w:hAnsi="宋体" w:cs="宋体"/>
                <w:b/>
                <w:bCs/>
                <w:kern w:val="0"/>
                <w:sz w:val="32"/>
                <w:szCs w:val="32"/>
              </w:rPr>
            </w:pPr>
            <w:r>
              <w:rPr>
                <w:rFonts w:hint="eastAsia" w:ascii="宋体" w:hAnsi="宋体" w:cs="宋体"/>
                <w:b/>
                <w:bCs/>
                <w:kern w:val="0"/>
                <w:sz w:val="32"/>
                <w:szCs w:val="32"/>
              </w:rPr>
              <w:t>行政事业单位国有资产损溢、资金挂账核实申请表</w:t>
            </w:r>
          </w:p>
        </w:tc>
      </w:tr>
      <w:tr>
        <w:tblPrEx>
          <w:tblCellMar>
            <w:top w:w="0" w:type="dxa"/>
            <w:left w:w="108" w:type="dxa"/>
            <w:bottom w:w="0" w:type="dxa"/>
            <w:right w:w="108" w:type="dxa"/>
          </w:tblCellMar>
        </w:tblPrEx>
        <w:trPr>
          <w:trHeight w:val="405" w:hRule="atLeast"/>
        </w:trPr>
        <w:tc>
          <w:tcPr>
            <w:tcW w:w="4340" w:type="dxa"/>
            <w:gridSpan w:val="5"/>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申报单位（盖章）：</w:t>
            </w:r>
          </w:p>
        </w:tc>
        <w:tc>
          <w:tcPr>
            <w:tcW w:w="3154" w:type="dxa"/>
            <w:gridSpan w:val="3"/>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264" w:type="dxa"/>
            <w:gridSpan w:val="4"/>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申报单号：</w:t>
            </w:r>
          </w:p>
        </w:tc>
        <w:tc>
          <w:tcPr>
            <w:tcW w:w="4076" w:type="dxa"/>
            <w:gridSpan w:val="7"/>
            <w:tcBorders>
              <w:top w:val="nil"/>
              <w:left w:val="nil"/>
              <w:bottom w:val="single" w:color="auto" w:sz="4" w:space="0"/>
              <w:right w:val="nil"/>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金额单位：万元</w:t>
            </w:r>
          </w:p>
        </w:tc>
      </w:tr>
      <w:tr>
        <w:tblPrEx>
          <w:tblCellMar>
            <w:top w:w="0" w:type="dxa"/>
            <w:left w:w="108" w:type="dxa"/>
            <w:bottom w:w="0" w:type="dxa"/>
            <w:right w:w="108" w:type="dxa"/>
          </w:tblCellMar>
        </w:tblPrEx>
        <w:trPr>
          <w:trHeight w:val="402" w:hRule="atLeast"/>
        </w:trPr>
        <w:tc>
          <w:tcPr>
            <w:tcW w:w="114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申请核实</w:t>
            </w:r>
          </w:p>
          <w:p>
            <w:pPr>
              <w:widowControl/>
              <w:jc w:val="center"/>
              <w:rPr>
                <w:rFonts w:ascii="宋体" w:hAnsi="宋体" w:cs="宋体"/>
                <w:kern w:val="0"/>
                <w:sz w:val="20"/>
                <w:szCs w:val="20"/>
              </w:rPr>
            </w:pPr>
            <w:r>
              <w:rPr>
                <w:rFonts w:hint="eastAsia" w:ascii="宋体" w:hAnsi="宋体" w:cs="宋体"/>
                <w:kern w:val="0"/>
                <w:sz w:val="20"/>
                <w:szCs w:val="20"/>
              </w:rPr>
              <w:t>资产</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项目</w:t>
            </w:r>
          </w:p>
        </w:tc>
        <w:tc>
          <w:tcPr>
            <w:tcW w:w="3402"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资产盘盈</w:t>
            </w:r>
          </w:p>
        </w:tc>
        <w:tc>
          <w:tcPr>
            <w:tcW w:w="3366"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资产损失</w:t>
            </w:r>
          </w:p>
        </w:tc>
        <w:tc>
          <w:tcPr>
            <w:tcW w:w="3296" w:type="dxa"/>
            <w:gridSpan w:val="6"/>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资金挂账</w:t>
            </w:r>
          </w:p>
        </w:tc>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说明</w:t>
            </w: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账面价值</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清查价值</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申报价值</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账面价值</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清查价值</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申报价值</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账面价值</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清查价值</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申报价值</w:t>
            </w:r>
          </w:p>
        </w:tc>
        <w:tc>
          <w:tcPr>
            <w:tcW w:w="7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资产总额</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流动资产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      其中：存货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固定资产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无形资产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长期投资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02" w:hRule="atLeast"/>
        </w:trPr>
        <w:tc>
          <w:tcPr>
            <w:tcW w:w="114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其他资产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nil"/>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6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9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525" w:hRule="atLeast"/>
        </w:trPr>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行政事业单位意见</w:t>
            </w:r>
          </w:p>
        </w:tc>
        <w:tc>
          <w:tcPr>
            <w:tcW w:w="4638" w:type="dxa"/>
            <w:gridSpan w:val="5"/>
            <w:tcBorders>
              <w:top w:val="single" w:color="auto" w:sz="4" w:space="0"/>
              <w:left w:val="nil"/>
              <w:bottom w:val="nil"/>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 资产管理部门意见：</w:t>
            </w:r>
          </w:p>
        </w:tc>
        <w:tc>
          <w:tcPr>
            <w:tcW w:w="4500" w:type="dxa"/>
            <w:gridSpan w:val="6"/>
            <w:tcBorders>
              <w:top w:val="single" w:color="auto" w:sz="4" w:space="0"/>
              <w:left w:val="nil"/>
              <w:bottom w:val="nil"/>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 预算（财务）管理部门意见：</w:t>
            </w:r>
          </w:p>
        </w:tc>
        <w:tc>
          <w:tcPr>
            <w:tcW w:w="4076" w:type="dxa"/>
            <w:gridSpan w:val="7"/>
            <w:tcBorders>
              <w:top w:val="single" w:color="auto" w:sz="4" w:space="0"/>
              <w:left w:val="nil"/>
              <w:bottom w:val="nil"/>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 单位负责人意见：</w:t>
            </w:r>
          </w:p>
        </w:tc>
      </w:tr>
      <w:tr>
        <w:tblPrEx>
          <w:tblCellMar>
            <w:top w:w="0" w:type="dxa"/>
            <w:left w:w="108" w:type="dxa"/>
            <w:bottom w:w="0" w:type="dxa"/>
            <w:right w:w="108" w:type="dxa"/>
          </w:tblCellMar>
        </w:tblPrEx>
        <w:trPr>
          <w:trHeight w:val="525" w:hRule="atLeast"/>
        </w:trPr>
        <w:tc>
          <w:tcPr>
            <w:tcW w:w="6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4638" w:type="dxa"/>
            <w:gridSpan w:val="5"/>
            <w:tcBorders>
              <w:top w:val="nil"/>
              <w:left w:val="nil"/>
              <w:bottom w:val="nil"/>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00" w:type="dxa"/>
            <w:gridSpan w:val="6"/>
            <w:tcBorders>
              <w:top w:val="nil"/>
              <w:left w:val="nil"/>
              <w:bottom w:val="nil"/>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076" w:type="dxa"/>
            <w:gridSpan w:val="7"/>
            <w:tcBorders>
              <w:top w:val="nil"/>
              <w:left w:val="single" w:color="auto" w:sz="4" w:space="0"/>
              <w:bottom w:val="nil"/>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315" w:hRule="atLeast"/>
        </w:trPr>
        <w:tc>
          <w:tcPr>
            <w:tcW w:w="6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4638" w:type="dxa"/>
            <w:gridSpan w:val="5"/>
            <w:tcBorders>
              <w:top w:val="nil"/>
              <w:left w:val="nil"/>
              <w:bottom w:val="single" w:color="auto" w:sz="4" w:space="0"/>
              <w:right w:val="single" w:color="auto" w:sz="4" w:space="0"/>
            </w:tcBorders>
            <w:shd w:val="clear" w:color="auto" w:fill="auto"/>
            <w:vAlign w:val="bottom"/>
          </w:tcPr>
          <w:p>
            <w:pPr>
              <w:widowControl/>
              <w:jc w:val="right"/>
              <w:rPr>
                <w:rFonts w:ascii="宋体" w:hAnsi="宋体" w:cs="宋体"/>
                <w:kern w:val="0"/>
                <w:sz w:val="20"/>
                <w:szCs w:val="20"/>
              </w:rPr>
            </w:pPr>
            <w:r>
              <w:rPr>
                <w:rFonts w:hint="eastAsia" w:ascii="宋体" w:hAnsi="宋体" w:cs="宋体"/>
                <w:kern w:val="0"/>
                <w:sz w:val="20"/>
                <w:szCs w:val="20"/>
              </w:rPr>
              <w:t xml:space="preserve">            （签章）       年   月   日</w:t>
            </w:r>
          </w:p>
        </w:tc>
        <w:tc>
          <w:tcPr>
            <w:tcW w:w="4500" w:type="dxa"/>
            <w:gridSpan w:val="6"/>
            <w:tcBorders>
              <w:top w:val="nil"/>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（签章）       年   月   日</w:t>
            </w:r>
          </w:p>
        </w:tc>
        <w:tc>
          <w:tcPr>
            <w:tcW w:w="4076" w:type="dxa"/>
            <w:gridSpan w:val="7"/>
            <w:tcBorders>
              <w:top w:val="nil"/>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（签章）    年   月   日</w:t>
            </w:r>
          </w:p>
        </w:tc>
      </w:tr>
      <w:tr>
        <w:tblPrEx>
          <w:tblCellMar>
            <w:top w:w="0" w:type="dxa"/>
            <w:left w:w="108" w:type="dxa"/>
            <w:bottom w:w="0" w:type="dxa"/>
            <w:right w:w="108" w:type="dxa"/>
          </w:tblCellMar>
        </w:tblPrEx>
        <w:trPr>
          <w:trHeight w:val="525" w:hRule="atLeast"/>
        </w:trPr>
        <w:tc>
          <w:tcPr>
            <w:tcW w:w="6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主管部门审核意见</w:t>
            </w:r>
          </w:p>
        </w:tc>
        <w:tc>
          <w:tcPr>
            <w:tcW w:w="6874" w:type="dxa"/>
            <w:gridSpan w:val="7"/>
            <w:tcBorders>
              <w:top w:val="single" w:color="auto" w:sz="4" w:space="0"/>
              <w:left w:val="nil"/>
              <w:bottom w:val="nil"/>
              <w:right w:val="single" w:color="000000"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资产管理部门意见：</w:t>
            </w:r>
          </w:p>
        </w:tc>
        <w:tc>
          <w:tcPr>
            <w:tcW w:w="6340" w:type="dxa"/>
            <w:gridSpan w:val="11"/>
            <w:tcBorders>
              <w:top w:val="single" w:color="auto" w:sz="4" w:space="0"/>
              <w:left w:val="nil"/>
              <w:bottom w:val="nil"/>
              <w:right w:val="single" w:color="000000"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预算（财务）管理部门意见：</w:t>
            </w:r>
          </w:p>
        </w:tc>
      </w:tr>
      <w:tr>
        <w:tblPrEx>
          <w:tblCellMar>
            <w:top w:w="0" w:type="dxa"/>
            <w:left w:w="108" w:type="dxa"/>
            <w:bottom w:w="0" w:type="dxa"/>
            <w:right w:w="108" w:type="dxa"/>
          </w:tblCellMar>
        </w:tblPrEx>
        <w:trPr>
          <w:trHeight w:val="450" w:hRule="atLeast"/>
        </w:trPr>
        <w:tc>
          <w:tcPr>
            <w:tcW w:w="6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6874" w:type="dxa"/>
            <w:gridSpan w:val="7"/>
            <w:tcBorders>
              <w:top w:val="nil"/>
              <w:left w:val="nil"/>
              <w:bottom w:val="nil"/>
              <w:right w:val="single" w:color="000000"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60" w:type="dxa"/>
            <w:tcBorders>
              <w:top w:val="nil"/>
              <w:left w:val="nil"/>
              <w:bottom w:val="nil"/>
              <w:right w:val="nil"/>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60" w:type="dxa"/>
            <w:gridSpan w:val="2"/>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960" w:type="dxa"/>
            <w:gridSpan w:val="2"/>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1040" w:type="dxa"/>
            <w:gridSpan w:val="2"/>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960" w:type="dxa"/>
            <w:gridSpan w:val="2"/>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1460" w:type="dxa"/>
            <w:gridSpan w:val="2"/>
            <w:tcBorders>
              <w:top w:val="nil"/>
              <w:left w:val="nil"/>
              <w:bottom w:val="nil"/>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50" w:hRule="atLeast"/>
        </w:trPr>
        <w:tc>
          <w:tcPr>
            <w:tcW w:w="6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6874" w:type="dxa"/>
            <w:gridSpan w:val="7"/>
            <w:tcBorders>
              <w:top w:val="nil"/>
              <w:left w:val="nil"/>
              <w:bottom w:val="single" w:color="auto" w:sz="4" w:space="0"/>
              <w:right w:val="single" w:color="000000"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（盖章）       年   月   日</w:t>
            </w:r>
          </w:p>
        </w:tc>
        <w:tc>
          <w:tcPr>
            <w:tcW w:w="6340" w:type="dxa"/>
            <w:gridSpan w:val="11"/>
            <w:tcBorders>
              <w:top w:val="nil"/>
              <w:left w:val="nil"/>
              <w:bottom w:val="single" w:color="auto" w:sz="4" w:space="0"/>
              <w:right w:val="single" w:color="000000"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（签章）       年   月   日</w:t>
            </w:r>
          </w:p>
        </w:tc>
      </w:tr>
    </w:tbl>
    <w:p>
      <w:pPr>
        <w:pStyle w:val="12"/>
        <w:widowControl w:val="0"/>
        <w:spacing w:line="432" w:lineRule="auto"/>
        <w:jc w:val="both"/>
        <w:rPr>
          <w:rFonts w:ascii="仿宋_GB2312" w:hAnsi="Arial" w:eastAsia="仿宋_GB2312" w:cs="Arial"/>
          <w:sz w:val="30"/>
          <w:szCs w:val="30"/>
        </w:rPr>
      </w:pPr>
    </w:p>
    <w:tbl>
      <w:tblPr>
        <w:tblStyle w:val="14"/>
        <w:tblW w:w="13820" w:type="dxa"/>
        <w:tblInd w:w="95" w:type="dxa"/>
        <w:tblLayout w:type="autofit"/>
        <w:tblCellMar>
          <w:top w:w="0" w:type="dxa"/>
          <w:left w:w="108" w:type="dxa"/>
          <w:bottom w:w="0" w:type="dxa"/>
          <w:right w:w="108" w:type="dxa"/>
        </w:tblCellMar>
      </w:tblPr>
      <w:tblGrid>
        <w:gridCol w:w="456"/>
        <w:gridCol w:w="560"/>
        <w:gridCol w:w="480"/>
        <w:gridCol w:w="560"/>
        <w:gridCol w:w="560"/>
        <w:gridCol w:w="640"/>
        <w:gridCol w:w="600"/>
        <w:gridCol w:w="920"/>
        <w:gridCol w:w="940"/>
        <w:gridCol w:w="1020"/>
        <w:gridCol w:w="740"/>
        <w:gridCol w:w="940"/>
        <w:gridCol w:w="1022"/>
        <w:gridCol w:w="1060"/>
        <w:gridCol w:w="952"/>
        <w:gridCol w:w="880"/>
        <w:gridCol w:w="986"/>
        <w:gridCol w:w="640"/>
      </w:tblGrid>
      <w:tr>
        <w:tblPrEx>
          <w:tblCellMar>
            <w:top w:w="0" w:type="dxa"/>
            <w:left w:w="108" w:type="dxa"/>
            <w:bottom w:w="0" w:type="dxa"/>
            <w:right w:w="108" w:type="dxa"/>
          </w:tblCellMar>
        </w:tblPrEx>
        <w:trPr>
          <w:trHeight w:val="555" w:hRule="atLeast"/>
        </w:trPr>
        <w:tc>
          <w:tcPr>
            <w:tcW w:w="13820" w:type="dxa"/>
            <w:gridSpan w:val="18"/>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r>
              <w:rPr>
                <w:rFonts w:hint="eastAsia" w:ascii="宋体" w:hAnsi="宋体" w:cs="宋体"/>
                <w:b/>
                <w:bCs/>
                <w:kern w:val="0"/>
                <w:sz w:val="32"/>
                <w:szCs w:val="32"/>
              </w:rPr>
              <w:t>行政事业单位国有资产损溢、资金挂账核实申请表</w:t>
            </w:r>
          </w:p>
        </w:tc>
      </w:tr>
      <w:tr>
        <w:tblPrEx>
          <w:tblCellMar>
            <w:top w:w="0" w:type="dxa"/>
            <w:left w:w="108" w:type="dxa"/>
            <w:bottom w:w="0" w:type="dxa"/>
            <w:right w:w="108" w:type="dxa"/>
          </w:tblCellMar>
        </w:tblPrEx>
        <w:trPr>
          <w:trHeight w:val="390" w:hRule="atLeast"/>
        </w:trPr>
        <w:tc>
          <w:tcPr>
            <w:tcW w:w="32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56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48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56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56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64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60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92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94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102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74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94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1022"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106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952"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880"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986" w:type="dxa"/>
            <w:tcBorders>
              <w:top w:val="nil"/>
              <w:left w:val="nil"/>
              <w:bottom w:val="nil"/>
              <w:right w:val="nil"/>
            </w:tcBorders>
            <w:shd w:val="clear" w:color="auto" w:fill="auto"/>
            <w:noWrap/>
            <w:vAlign w:val="center"/>
          </w:tcPr>
          <w:p>
            <w:pPr>
              <w:widowControl/>
              <w:jc w:val="center"/>
              <w:rPr>
                <w:rFonts w:ascii="宋体" w:hAnsi="宋体" w:cs="宋体"/>
                <w:b/>
                <w:bCs/>
                <w:kern w:val="0"/>
                <w:sz w:val="32"/>
                <w:szCs w:val="32"/>
              </w:rPr>
            </w:pPr>
          </w:p>
        </w:tc>
        <w:tc>
          <w:tcPr>
            <w:tcW w:w="640" w:type="dxa"/>
            <w:tcBorders>
              <w:top w:val="nil"/>
              <w:left w:val="nil"/>
              <w:bottom w:val="nil"/>
              <w:right w:val="nil"/>
            </w:tcBorders>
            <w:shd w:val="clear" w:color="auto" w:fill="auto"/>
            <w:noWrap/>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附表</w:t>
            </w:r>
          </w:p>
        </w:tc>
      </w:tr>
      <w:tr>
        <w:tblPrEx>
          <w:tblCellMar>
            <w:top w:w="0" w:type="dxa"/>
            <w:left w:w="108" w:type="dxa"/>
            <w:bottom w:w="0" w:type="dxa"/>
            <w:right w:w="108" w:type="dxa"/>
          </w:tblCellMar>
        </w:tblPrEx>
        <w:trPr>
          <w:trHeight w:val="345" w:hRule="atLeast"/>
        </w:trPr>
        <w:tc>
          <w:tcPr>
            <w:tcW w:w="2480" w:type="dxa"/>
            <w:gridSpan w:val="5"/>
            <w:tcBorders>
              <w:top w:val="nil"/>
              <w:left w:val="nil"/>
              <w:bottom w:val="single" w:color="auto" w:sz="4" w:space="0"/>
              <w:right w:val="nil"/>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申报单位：</w:t>
            </w:r>
          </w:p>
        </w:tc>
        <w:tc>
          <w:tcPr>
            <w:tcW w:w="4120" w:type="dxa"/>
            <w:gridSpan w:val="5"/>
            <w:tcBorders>
              <w:top w:val="nil"/>
              <w:left w:val="nil"/>
              <w:bottom w:val="single" w:color="auto" w:sz="4" w:space="0"/>
              <w:right w:val="nil"/>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申报单号：</w:t>
            </w:r>
          </w:p>
        </w:tc>
        <w:tc>
          <w:tcPr>
            <w:tcW w:w="740"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940"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1022"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1060"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952"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880" w:type="dxa"/>
            <w:tcBorders>
              <w:top w:val="nil"/>
              <w:left w:val="nil"/>
              <w:bottom w:val="nil"/>
              <w:right w:val="nil"/>
            </w:tcBorders>
            <w:shd w:val="clear" w:color="auto" w:fill="auto"/>
            <w:noWrap/>
            <w:vAlign w:val="center"/>
          </w:tcPr>
          <w:p>
            <w:pPr>
              <w:widowControl/>
              <w:jc w:val="left"/>
              <w:rPr>
                <w:rFonts w:ascii="宋体" w:hAnsi="宋体" w:cs="宋体"/>
                <w:kern w:val="0"/>
                <w:sz w:val="24"/>
              </w:rPr>
            </w:pPr>
          </w:p>
        </w:tc>
        <w:tc>
          <w:tcPr>
            <w:tcW w:w="986" w:type="dxa"/>
            <w:tcBorders>
              <w:top w:val="nil"/>
              <w:left w:val="nil"/>
              <w:bottom w:val="single" w:color="auto" w:sz="4" w:space="0"/>
              <w:right w:val="nil"/>
            </w:tcBorders>
            <w:shd w:val="clear" w:color="auto" w:fill="auto"/>
            <w:noWrap/>
            <w:vAlign w:val="center"/>
          </w:tcPr>
          <w:p>
            <w:pPr>
              <w:widowControl/>
              <w:ind w:right="-270" w:rightChars="-129"/>
              <w:jc w:val="left"/>
              <w:rPr>
                <w:rFonts w:ascii="宋体" w:hAnsi="宋体" w:cs="宋体"/>
                <w:kern w:val="0"/>
                <w:szCs w:val="21"/>
              </w:rPr>
            </w:pPr>
            <w:r>
              <w:rPr>
                <w:rFonts w:hint="eastAsia" w:ascii="宋体" w:hAnsi="宋体" w:cs="宋体"/>
                <w:kern w:val="0"/>
                <w:szCs w:val="21"/>
              </w:rPr>
              <w:t>金额单位：</w:t>
            </w:r>
          </w:p>
        </w:tc>
        <w:tc>
          <w:tcPr>
            <w:tcW w:w="640" w:type="dxa"/>
            <w:tcBorders>
              <w:top w:val="nil"/>
              <w:left w:val="nil"/>
              <w:bottom w:val="nil"/>
              <w:right w:val="nil"/>
            </w:tcBorders>
            <w:shd w:val="clear" w:color="auto" w:fill="auto"/>
            <w:noWrap/>
            <w:vAlign w:val="center"/>
          </w:tcPr>
          <w:p>
            <w:pPr>
              <w:widowControl/>
              <w:jc w:val="right"/>
              <w:rPr>
                <w:rFonts w:ascii="宋体" w:hAnsi="宋体" w:cs="宋体"/>
                <w:kern w:val="0"/>
                <w:szCs w:val="21"/>
              </w:rPr>
            </w:pPr>
            <w:r>
              <w:rPr>
                <w:rFonts w:hint="eastAsia" w:ascii="宋体" w:hAnsi="宋体" w:cs="宋体"/>
                <w:kern w:val="0"/>
                <w:szCs w:val="21"/>
              </w:rPr>
              <w:t>元</w:t>
            </w:r>
          </w:p>
        </w:tc>
      </w:tr>
      <w:tr>
        <w:tblPrEx>
          <w:tblCellMar>
            <w:top w:w="0" w:type="dxa"/>
            <w:left w:w="108" w:type="dxa"/>
            <w:bottom w:w="0" w:type="dxa"/>
            <w:right w:w="108" w:type="dxa"/>
          </w:tblCellMar>
        </w:tblPrEx>
        <w:trPr>
          <w:trHeight w:val="375" w:hRule="atLeast"/>
        </w:trPr>
        <w:tc>
          <w:tcPr>
            <w:tcW w:w="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序号</w:t>
            </w:r>
          </w:p>
        </w:tc>
        <w:tc>
          <w:tcPr>
            <w:tcW w:w="5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损溢类型</w:t>
            </w:r>
          </w:p>
        </w:tc>
        <w:tc>
          <w:tcPr>
            <w:tcW w:w="4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资产编号</w:t>
            </w:r>
          </w:p>
        </w:tc>
        <w:tc>
          <w:tcPr>
            <w:tcW w:w="5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资产名称</w:t>
            </w:r>
          </w:p>
        </w:tc>
        <w:tc>
          <w:tcPr>
            <w:tcW w:w="5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科目分类</w:t>
            </w:r>
          </w:p>
        </w:tc>
        <w:tc>
          <w:tcPr>
            <w:tcW w:w="6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明细类别</w:t>
            </w:r>
          </w:p>
        </w:tc>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资产来源</w:t>
            </w:r>
          </w:p>
        </w:tc>
        <w:tc>
          <w:tcPr>
            <w:tcW w:w="18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数量/面积</w:t>
            </w:r>
          </w:p>
        </w:tc>
        <w:tc>
          <w:tcPr>
            <w:tcW w:w="10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购置（投资）日期</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财务入账日期</w:t>
            </w:r>
          </w:p>
        </w:tc>
        <w:tc>
          <w:tcPr>
            <w:tcW w:w="397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价     值</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证据索引编号</w:t>
            </w:r>
          </w:p>
        </w:tc>
        <w:tc>
          <w:tcPr>
            <w:tcW w:w="98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证据</w:t>
            </w:r>
          </w:p>
          <w:p>
            <w:pPr>
              <w:widowControl/>
              <w:jc w:val="center"/>
              <w:rPr>
                <w:rFonts w:ascii="宋体" w:hAnsi="宋体" w:cs="宋体"/>
                <w:kern w:val="0"/>
                <w:sz w:val="20"/>
                <w:szCs w:val="20"/>
              </w:rPr>
            </w:pPr>
            <w:r>
              <w:rPr>
                <w:rFonts w:hint="eastAsia" w:ascii="宋体" w:hAnsi="宋体" w:cs="宋体"/>
                <w:kern w:val="0"/>
                <w:sz w:val="20"/>
                <w:szCs w:val="20"/>
              </w:rPr>
              <w:t>数量</w:t>
            </w:r>
          </w:p>
        </w:tc>
        <w:tc>
          <w:tcPr>
            <w:tcW w:w="6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备注</w:t>
            </w:r>
          </w:p>
        </w:tc>
      </w:tr>
      <w:tr>
        <w:tblPrEx>
          <w:tblCellMar>
            <w:top w:w="0" w:type="dxa"/>
            <w:left w:w="108" w:type="dxa"/>
            <w:bottom w:w="0" w:type="dxa"/>
            <w:right w:w="108" w:type="dxa"/>
          </w:tblCellMar>
        </w:tblPrEx>
        <w:trPr>
          <w:trHeight w:val="600" w:hRule="atLeast"/>
        </w:trPr>
        <w:tc>
          <w:tcPr>
            <w:tcW w:w="3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4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6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账面</w:t>
            </w:r>
          </w:p>
          <w:p>
            <w:pPr>
              <w:widowControl/>
              <w:jc w:val="center"/>
              <w:rPr>
                <w:rFonts w:ascii="宋体" w:hAnsi="宋体" w:cs="宋体"/>
                <w:kern w:val="0"/>
                <w:sz w:val="20"/>
                <w:szCs w:val="20"/>
              </w:rPr>
            </w:pPr>
            <w:r>
              <w:rPr>
                <w:rFonts w:hint="eastAsia" w:ascii="宋体" w:hAnsi="宋体" w:cs="宋体"/>
                <w:kern w:val="0"/>
                <w:sz w:val="20"/>
                <w:szCs w:val="20"/>
              </w:rPr>
              <w:t>数量</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清查</w:t>
            </w:r>
          </w:p>
          <w:p>
            <w:pPr>
              <w:widowControl/>
              <w:jc w:val="center"/>
              <w:rPr>
                <w:rFonts w:ascii="宋体" w:hAnsi="宋体" w:cs="宋体"/>
                <w:kern w:val="0"/>
                <w:sz w:val="20"/>
                <w:szCs w:val="20"/>
              </w:rPr>
            </w:pPr>
            <w:r>
              <w:rPr>
                <w:rFonts w:hint="eastAsia" w:ascii="宋体" w:hAnsi="宋体" w:cs="宋体"/>
                <w:kern w:val="0"/>
                <w:sz w:val="20"/>
                <w:szCs w:val="20"/>
              </w:rPr>
              <w:t>数量</w:t>
            </w:r>
          </w:p>
        </w:tc>
        <w:tc>
          <w:tcPr>
            <w:tcW w:w="10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7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账面</w:t>
            </w:r>
          </w:p>
          <w:p>
            <w:pPr>
              <w:widowControl/>
              <w:jc w:val="center"/>
              <w:rPr>
                <w:rFonts w:ascii="宋体" w:hAnsi="宋体" w:cs="宋体"/>
                <w:kern w:val="0"/>
                <w:sz w:val="20"/>
                <w:szCs w:val="20"/>
              </w:rPr>
            </w:pPr>
            <w:r>
              <w:rPr>
                <w:rFonts w:hint="eastAsia" w:ascii="宋体" w:hAnsi="宋体" w:cs="宋体"/>
                <w:kern w:val="0"/>
                <w:sz w:val="20"/>
                <w:szCs w:val="20"/>
              </w:rPr>
              <w:t>价值</w:t>
            </w:r>
          </w:p>
        </w:tc>
        <w:tc>
          <w:tcPr>
            <w:tcW w:w="1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清查价值</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评估（鉴证）价值</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申报</w:t>
            </w:r>
          </w:p>
          <w:p>
            <w:pPr>
              <w:widowControl/>
              <w:jc w:val="center"/>
              <w:rPr>
                <w:rFonts w:ascii="宋体" w:hAnsi="宋体" w:cs="宋体"/>
                <w:kern w:val="0"/>
                <w:sz w:val="20"/>
                <w:szCs w:val="20"/>
              </w:rPr>
            </w:pPr>
            <w:r>
              <w:rPr>
                <w:rFonts w:hint="eastAsia" w:ascii="宋体" w:hAnsi="宋体" w:cs="宋体"/>
                <w:kern w:val="0"/>
                <w:sz w:val="20"/>
                <w:szCs w:val="20"/>
              </w:rPr>
              <w:t>价值</w:t>
            </w: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98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6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32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9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9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5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trPr>
        <w:tc>
          <w:tcPr>
            <w:tcW w:w="32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2</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6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9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9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5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trPr>
        <w:tc>
          <w:tcPr>
            <w:tcW w:w="3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9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7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5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8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9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4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5" w:hRule="atLeast"/>
        </w:trPr>
        <w:tc>
          <w:tcPr>
            <w:tcW w:w="13820" w:type="dxa"/>
            <w:gridSpan w:val="18"/>
            <w:tcBorders>
              <w:top w:val="nil"/>
              <w:left w:val="nil"/>
              <w:bottom w:val="nil"/>
              <w:right w:val="nil"/>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第N页</w:t>
            </w:r>
          </w:p>
        </w:tc>
      </w:tr>
    </w:tbl>
    <w:p>
      <w:pPr>
        <w:pStyle w:val="12"/>
        <w:widowControl w:val="0"/>
        <w:spacing w:line="432" w:lineRule="auto"/>
        <w:jc w:val="both"/>
        <w:rPr>
          <w:rFonts w:ascii="仿宋_GB2312" w:hAnsi="Arial" w:eastAsia="仿宋_GB2312" w:cs="Arial"/>
          <w:sz w:val="30"/>
          <w:szCs w:val="30"/>
        </w:rPr>
      </w:pPr>
    </w:p>
    <w:p>
      <w:pPr>
        <w:pStyle w:val="12"/>
        <w:widowControl w:val="0"/>
        <w:spacing w:line="432" w:lineRule="auto"/>
        <w:jc w:val="both"/>
        <w:rPr>
          <w:rFonts w:ascii="仿宋_GB2312" w:hAnsi="Arial" w:eastAsia="仿宋_GB2312" w:cs="Arial"/>
          <w:sz w:val="30"/>
          <w:szCs w:val="30"/>
        </w:rPr>
      </w:pPr>
    </w:p>
    <w:p>
      <w:pPr>
        <w:pStyle w:val="12"/>
        <w:widowControl w:val="0"/>
        <w:spacing w:line="432" w:lineRule="auto"/>
        <w:jc w:val="both"/>
        <w:rPr>
          <w:rFonts w:ascii="仿宋_GB2312" w:hAnsi="Arial" w:eastAsia="仿宋_GB2312" w:cs="Arial"/>
          <w:sz w:val="30"/>
          <w:szCs w:val="30"/>
        </w:rPr>
      </w:pPr>
    </w:p>
    <w:p>
      <w:pPr>
        <w:pStyle w:val="12"/>
        <w:widowControl w:val="0"/>
        <w:spacing w:line="432" w:lineRule="auto"/>
        <w:jc w:val="both"/>
        <w:rPr>
          <w:rFonts w:ascii="仿宋_GB2312" w:hAnsi="Arial" w:eastAsia="仿宋_GB2312" w:cs="Arial"/>
          <w:sz w:val="30"/>
          <w:szCs w:val="30"/>
        </w:rPr>
      </w:pPr>
    </w:p>
    <w:p>
      <w:pPr>
        <w:pStyle w:val="12"/>
        <w:widowControl w:val="0"/>
        <w:spacing w:line="432" w:lineRule="auto"/>
        <w:jc w:val="both"/>
        <w:rPr>
          <w:rFonts w:ascii="仿宋_GB2312" w:hAnsi="Arial" w:eastAsia="仿宋_GB2312" w:cs="Arial"/>
          <w:sz w:val="30"/>
          <w:szCs w:val="30"/>
        </w:rPr>
        <w:sectPr>
          <w:pgSz w:w="16838" w:h="11906" w:orient="landscape"/>
          <w:pgMar w:top="1701" w:right="1440" w:bottom="1701" w:left="1440" w:header="851" w:footer="992" w:gutter="0"/>
          <w:cols w:space="425" w:num="1"/>
          <w:titlePg/>
          <w:docGrid w:type="linesAndChars" w:linePitch="312" w:charSpace="0"/>
        </w:sectPr>
      </w:pPr>
    </w:p>
    <w:p>
      <w:pPr>
        <w:pStyle w:val="12"/>
        <w:widowControl w:val="0"/>
        <w:spacing w:line="432" w:lineRule="auto"/>
        <w:jc w:val="both"/>
        <w:rPr>
          <w:rFonts w:ascii="仿宋_GB2312" w:hAnsi="Arial" w:eastAsia="仿宋_GB2312" w:cs="Arial"/>
          <w:sz w:val="30"/>
          <w:szCs w:val="30"/>
        </w:rPr>
      </w:pPr>
      <w:r>
        <w:rPr>
          <w:rFonts w:hint="eastAsia" w:ascii="仿宋_GB2312" w:hAnsi="Arial" w:eastAsia="仿宋_GB2312" w:cs="Arial"/>
          <w:sz w:val="30"/>
          <w:szCs w:val="30"/>
        </w:rPr>
        <w:t>附2：</w:t>
      </w:r>
    </w:p>
    <w:p>
      <w:pPr>
        <w:jc w:val="center"/>
        <w:rPr>
          <w:rFonts w:ascii="楷体_GB2312" w:hAnsi="仿宋" w:eastAsia="楷体_GB2312" w:cs="仿宋"/>
          <w:sz w:val="24"/>
        </w:rPr>
      </w:pPr>
      <w:r>
        <w:rPr>
          <w:rFonts w:hint="eastAsia" w:ascii="华文中宋" w:hAnsi="华文中宋" w:eastAsia="华文中宋" w:cs="黑体"/>
          <w:sz w:val="36"/>
          <w:szCs w:val="36"/>
        </w:rPr>
        <w:t>XX单位资产清查工作报告</w:t>
      </w:r>
    </w:p>
    <w:p>
      <w:pPr>
        <w:jc w:val="center"/>
        <w:rPr>
          <w:rFonts w:ascii="楷体_GB2312" w:hAnsi="仿宋" w:eastAsia="楷体_GB2312" w:cs="仿宋"/>
          <w:sz w:val="24"/>
        </w:rPr>
      </w:pPr>
      <w:r>
        <w:rPr>
          <w:rFonts w:hint="eastAsia" w:ascii="楷体_GB2312" w:hAnsi="仿宋" w:eastAsia="楷体_GB2312" w:cs="仿宋"/>
          <w:sz w:val="24"/>
        </w:rPr>
        <w:t>（单位参考格式）</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根据《行政事业单位资产清查核实管理办法》等有关规定，我单位已按时完成资产清查的主体工作，并经主审计所          XX会计师事务所的资产清查专项审计，现将有关资产清查的工作情况报告如下：</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单位基本情况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包括</w:t>
      </w:r>
      <w:r>
        <w:rPr>
          <w:rFonts w:hint="eastAsia" w:ascii="仿宋_GB2312" w:eastAsia="仿宋_GB2312"/>
          <w:sz w:val="26"/>
          <w:szCs w:val="26"/>
        </w:rPr>
        <w:t>单位性质、财务隶属关系、资产管理部门或岗位设置情况、执行财务会计制度情况、单位人员情况、预算收支情况等基本情况。</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资产清查工作总体状况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（一）资产清查工作基准日。</w:t>
      </w:r>
    </w:p>
    <w:p>
      <w:pPr>
        <w:spacing w:line="400" w:lineRule="exact"/>
        <w:ind w:firstLine="520" w:firstLineChars="200"/>
        <w:rPr>
          <w:rFonts w:ascii="仿宋_GB2312" w:eastAsia="仿宋_GB2312"/>
          <w:sz w:val="26"/>
          <w:szCs w:val="26"/>
        </w:rPr>
      </w:pPr>
      <w:r>
        <w:rPr>
          <w:rFonts w:hint="eastAsia" w:ascii="仿宋_GB2312" w:hAnsi="仿宋" w:eastAsia="仿宋_GB2312" w:cs="仿宋"/>
          <w:sz w:val="26"/>
          <w:szCs w:val="26"/>
        </w:rPr>
        <w:t>（二）资产清查范围。</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（三）资产清查工作组织实施情况。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1.资产清查工作方案制定情况。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2.资产清查工作方案实施情况。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3.聘请中介审计情况。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（四）资产清查工作取得的成效及存在的问题。</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资产清查工作结果</w:t>
      </w:r>
    </w:p>
    <w:p>
      <w:pPr>
        <w:spacing w:line="400" w:lineRule="exact"/>
        <w:rPr>
          <w:rFonts w:ascii="仿宋_GB2312" w:hAnsi="仿宋" w:eastAsia="仿宋_GB2312" w:cs="仿宋"/>
          <w:sz w:val="26"/>
          <w:szCs w:val="26"/>
        </w:rPr>
      </w:pPr>
      <w:r>
        <w:rPr>
          <w:rFonts w:hint="eastAsia" w:ascii="仿宋_GB2312" w:hAnsi="仿宋" w:eastAsia="仿宋_GB2312" w:cs="仿宋"/>
          <w:sz w:val="26"/>
          <w:szCs w:val="26"/>
        </w:rPr>
        <w:t xml:space="preserve">    （一）单位清查出的资产盘盈、资产损失、资金挂账情况。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（二）资产盘盈、资产损失、资金挂账原因分析。</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（三）资产盘盈、资产损失、资金挂账证明材料。</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（四）经XX会计师事务所审核后的资产盘盈、资产损失、资金挂账情况。</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（五）单位申报核实资产盘盈、资产损失、资金挂账的处理预案。</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对资产清查暴露出来的单位资产、财务管理中存在的问题、原因进行分析并提出改进措施等</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（一）存在的实际问题。</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（二）原因分析。</w:t>
      </w:r>
    </w:p>
    <w:p>
      <w:pPr>
        <w:spacing w:line="400" w:lineRule="exact"/>
        <w:ind w:firstLine="520" w:firstLineChars="200"/>
        <w:rPr>
          <w:rFonts w:ascii="仿宋_GB2312" w:hAnsi="仿宋" w:eastAsia="仿宋_GB2312" w:cs="仿宋"/>
          <w:sz w:val="26"/>
          <w:szCs w:val="26"/>
        </w:rPr>
      </w:pPr>
      <w:r>
        <w:rPr>
          <w:rFonts w:hint="eastAsia" w:ascii="仿宋_GB2312" w:hAnsi="仿宋" w:eastAsia="仿宋_GB2312" w:cs="仿宋"/>
          <w:sz w:val="26"/>
          <w:szCs w:val="26"/>
        </w:rPr>
        <w:t>（三）改进措施。</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单位资产管理情况</w:t>
      </w:r>
    </w:p>
    <w:p>
      <w:pPr>
        <w:spacing w:line="400" w:lineRule="exact"/>
        <w:ind w:left="600"/>
        <w:rPr>
          <w:rFonts w:ascii="仿宋_GB2312" w:hAnsi="黑体" w:eastAsia="仿宋_GB2312" w:cs="仿宋"/>
          <w:bCs/>
          <w:sz w:val="26"/>
          <w:szCs w:val="26"/>
        </w:rPr>
      </w:pPr>
      <w:r>
        <w:rPr>
          <w:rFonts w:hint="eastAsia" w:ascii="仿宋_GB2312" w:hAnsi="黑体" w:eastAsia="仿宋_GB2312" w:cs="仿宋"/>
          <w:bCs/>
          <w:sz w:val="26"/>
          <w:szCs w:val="26"/>
        </w:rPr>
        <w:t>具体包括资产使用状况和国有资产收益情况等。</w:t>
      </w:r>
    </w:p>
    <w:p>
      <w:pPr>
        <w:numPr>
          <w:ilvl w:val="0"/>
          <w:numId w:val="1"/>
        </w:numPr>
        <w:spacing w:line="400" w:lineRule="exact"/>
        <w:ind w:firstLine="520" w:firstLineChars="200"/>
        <w:rPr>
          <w:rFonts w:ascii="黑体" w:hAnsi="黑体" w:eastAsia="黑体" w:cs="仿宋"/>
          <w:bCs/>
          <w:sz w:val="26"/>
          <w:szCs w:val="26"/>
        </w:rPr>
      </w:pPr>
      <w:r>
        <w:rPr>
          <w:rFonts w:hint="eastAsia" w:ascii="黑体" w:hAnsi="黑体" w:eastAsia="黑体" w:cs="仿宋"/>
          <w:bCs/>
          <w:sz w:val="26"/>
          <w:szCs w:val="26"/>
        </w:rPr>
        <w:t>其他需要说明的事项</w:t>
      </w:r>
    </w:p>
    <w:p>
      <w:pPr>
        <w:jc w:val="left"/>
        <w:rPr>
          <w:rFonts w:ascii="仿宋_GB2312" w:hAnsi="华文中宋" w:eastAsia="仿宋_GB2312"/>
          <w:sz w:val="30"/>
          <w:szCs w:val="30"/>
        </w:rPr>
      </w:pPr>
      <w:r>
        <w:rPr>
          <w:rFonts w:hint="eastAsia" w:ascii="仿宋_GB2312" w:hAnsi="华文中宋" w:eastAsia="仿宋_GB2312"/>
          <w:sz w:val="30"/>
          <w:szCs w:val="30"/>
        </w:rPr>
        <w:t>附3：</w:t>
      </w:r>
    </w:p>
    <w:p>
      <w:pPr>
        <w:jc w:val="center"/>
        <w:rPr>
          <w:rFonts w:ascii="华文中宋" w:hAnsi="华文中宋" w:eastAsia="华文中宋"/>
          <w:b/>
          <w:sz w:val="36"/>
          <w:szCs w:val="36"/>
        </w:rPr>
      </w:pPr>
      <w:r>
        <w:rPr>
          <w:rFonts w:hint="eastAsia" w:ascii="华文中宋" w:hAnsi="华文中宋" w:eastAsia="华文中宋"/>
          <w:b/>
          <w:sz w:val="36"/>
          <w:szCs w:val="36"/>
        </w:rPr>
        <w:t>XX地区/部门资产清查工作报告</w:t>
      </w:r>
    </w:p>
    <w:p>
      <w:pPr>
        <w:spacing w:line="400" w:lineRule="exact"/>
        <w:rPr>
          <w:sz w:val="26"/>
          <w:szCs w:val="26"/>
        </w:rPr>
      </w:pPr>
    </w:p>
    <w:p>
      <w:pPr>
        <w:spacing w:line="400" w:lineRule="exact"/>
        <w:jc w:val="center"/>
        <w:rPr>
          <w:rFonts w:ascii="楷体_GB2312" w:hAnsi="楷体_GB2312" w:eastAsia="楷体_GB2312"/>
          <w:sz w:val="26"/>
          <w:szCs w:val="26"/>
        </w:rPr>
      </w:pPr>
      <w:r>
        <w:rPr>
          <w:rFonts w:hint="eastAsia" w:ascii="楷体_GB2312" w:hAnsi="楷体_GB2312" w:eastAsia="楷体_GB2312"/>
          <w:sz w:val="26"/>
          <w:szCs w:val="26"/>
        </w:rPr>
        <w:t>（地方财政部门/主管部门参考格式）</w:t>
      </w:r>
    </w:p>
    <w:p>
      <w:pPr>
        <w:spacing w:line="400" w:lineRule="exact"/>
        <w:ind w:firstLine="520" w:firstLineChars="200"/>
        <w:rPr>
          <w:rFonts w:ascii="宋体" w:hAnsi="宋体"/>
          <w:sz w:val="26"/>
          <w:szCs w:val="26"/>
        </w:rPr>
      </w:pPr>
    </w:p>
    <w:p>
      <w:pPr>
        <w:spacing w:line="400" w:lineRule="exact"/>
        <w:ind w:firstLine="520" w:firstLineChars="200"/>
        <w:rPr>
          <w:rFonts w:ascii="仿宋_GB2312" w:eastAsia="仿宋_GB2312"/>
          <w:sz w:val="26"/>
          <w:szCs w:val="26"/>
        </w:rPr>
      </w:pPr>
      <w:r>
        <w:rPr>
          <w:rFonts w:hint="eastAsia" w:ascii="仿宋_GB2312" w:eastAsia="仿宋_GB2312"/>
          <w:sz w:val="26"/>
          <w:szCs w:val="26"/>
        </w:rPr>
        <w:t>根据《行政单位国有资产管理暂行办法》（财政部令第35号）、《事业单位国有资产管理暂行办法》（财政部令第36号）和</w:t>
      </w:r>
      <w:r>
        <w:rPr>
          <w:rFonts w:hint="eastAsia" w:ascii="仿宋_GB2312" w:hAnsi="仿宋" w:eastAsia="仿宋_GB2312" w:cs="仿宋"/>
          <w:sz w:val="26"/>
          <w:szCs w:val="26"/>
        </w:rPr>
        <w:t>《行政事业单位资产清查核实管理办法》</w:t>
      </w:r>
      <w:r>
        <w:rPr>
          <w:rFonts w:hint="eastAsia" w:ascii="仿宋_GB2312" w:eastAsia="仿宋_GB2312"/>
          <w:sz w:val="26"/>
          <w:szCs w:val="26"/>
        </w:rPr>
        <w:t>，我省（市、县、乡）/部门以     为资产清查工作基准日开展了资产清查工作，现报告如下：</w:t>
      </w:r>
    </w:p>
    <w:p>
      <w:pPr>
        <w:pStyle w:val="34"/>
        <w:numPr>
          <w:ilvl w:val="0"/>
          <w:numId w:val="2"/>
        </w:numPr>
        <w:spacing w:line="400" w:lineRule="exact"/>
        <w:ind w:firstLineChars="0"/>
        <w:rPr>
          <w:rFonts w:ascii="黑体" w:hAnsi="仿宋" w:eastAsia="黑体"/>
          <w:color w:val="000000"/>
          <w:sz w:val="26"/>
          <w:szCs w:val="26"/>
        </w:rPr>
      </w:pPr>
      <w:r>
        <w:rPr>
          <w:rFonts w:hint="eastAsia" w:ascii="黑体" w:hAnsi="仿宋" w:eastAsia="黑体"/>
          <w:color w:val="000000"/>
          <w:sz w:val="26"/>
          <w:szCs w:val="26"/>
        </w:rPr>
        <w:t>本地区、本部门基本情况</w:t>
      </w:r>
    </w:p>
    <w:p>
      <w:pPr>
        <w:pStyle w:val="34"/>
        <w:numPr>
          <w:ilvl w:val="0"/>
          <w:numId w:val="2"/>
        </w:numPr>
        <w:spacing w:line="400" w:lineRule="exact"/>
        <w:ind w:firstLineChars="0"/>
        <w:rPr>
          <w:rFonts w:ascii="仿宋_GB2312" w:eastAsia="仿宋_GB2312"/>
          <w:sz w:val="26"/>
          <w:szCs w:val="26"/>
        </w:rPr>
      </w:pPr>
      <w:r>
        <w:rPr>
          <w:rFonts w:hint="eastAsia" w:ascii="黑体" w:hAnsi="仿宋" w:eastAsia="黑体"/>
          <w:color w:val="000000"/>
          <w:sz w:val="26"/>
          <w:szCs w:val="26"/>
        </w:rPr>
        <w:t>工作组织实施情况</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（一）资产清查范围。</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（二）资产清查工作具体实施情况。包括实施方案制定以及清查工作布置、培训、审核汇总情况等。</w:t>
      </w:r>
    </w:p>
    <w:p>
      <w:pPr>
        <w:pStyle w:val="34"/>
        <w:numPr>
          <w:ilvl w:val="0"/>
          <w:numId w:val="2"/>
        </w:numPr>
        <w:spacing w:line="400" w:lineRule="exact"/>
        <w:ind w:firstLineChars="0"/>
        <w:rPr>
          <w:rFonts w:ascii="黑体" w:eastAsia="黑体"/>
          <w:sz w:val="26"/>
          <w:szCs w:val="26"/>
        </w:rPr>
      </w:pPr>
      <w:r>
        <w:rPr>
          <w:rFonts w:hint="eastAsia" w:ascii="黑体" w:eastAsia="黑体"/>
          <w:sz w:val="26"/>
          <w:szCs w:val="26"/>
        </w:rPr>
        <w:t>工作成效</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（一）资产的基本情况。</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1.本地区、本部门所属行政事业单位资产账面数、负债账面数、资产清查数、负债清查数。</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2.清查出的资产盘盈、资产损失以及资金挂账等情况。</w:t>
      </w:r>
    </w:p>
    <w:p>
      <w:pPr>
        <w:spacing w:line="400" w:lineRule="exact"/>
        <w:ind w:left="645"/>
        <w:rPr>
          <w:rFonts w:ascii="仿宋_GB2312" w:eastAsia="仿宋_GB2312"/>
          <w:sz w:val="26"/>
          <w:szCs w:val="26"/>
        </w:rPr>
      </w:pPr>
      <w:r>
        <w:rPr>
          <w:rFonts w:hint="eastAsia" w:ascii="仿宋_GB2312" w:eastAsia="仿宋_GB2312"/>
          <w:sz w:val="26"/>
          <w:szCs w:val="26"/>
        </w:rPr>
        <w:t>（二）资产使用状况。</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主要包括与部门、单位履行职能和促进行政管理、事业发展相关的主要资产的使用状况。对资产报告中反映的单位资产、财务管理中存在的问题、原因等进行分析。</w:t>
      </w:r>
    </w:p>
    <w:p>
      <w:pPr>
        <w:spacing w:line="400" w:lineRule="exact"/>
        <w:ind w:left="645"/>
        <w:rPr>
          <w:rFonts w:ascii="仿宋_GB2312" w:eastAsia="仿宋_GB2312"/>
          <w:sz w:val="26"/>
          <w:szCs w:val="26"/>
        </w:rPr>
      </w:pPr>
      <w:r>
        <w:rPr>
          <w:rFonts w:hint="eastAsia" w:ascii="仿宋_GB2312" w:eastAsia="仿宋_GB2312"/>
          <w:sz w:val="26"/>
          <w:szCs w:val="26"/>
        </w:rPr>
        <w:t>（三）国有资产收益情况。</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主要包括本地区、本部门所属行政事业单位利用国有资产对外投资、出租出借等取得的收益情况。包括收益的金额，是否纳入单位预算管理或上缴的情况等。</w:t>
      </w:r>
    </w:p>
    <w:p>
      <w:pPr>
        <w:spacing w:line="400" w:lineRule="exact"/>
        <w:ind w:firstLine="520" w:firstLineChars="200"/>
        <w:rPr>
          <w:rFonts w:ascii="仿宋_GB2312" w:eastAsia="仿宋_GB2312"/>
          <w:b/>
          <w:sz w:val="26"/>
          <w:szCs w:val="26"/>
        </w:rPr>
      </w:pPr>
      <w:r>
        <w:rPr>
          <w:rFonts w:hint="eastAsia" w:ascii="仿宋_GB2312" w:eastAsia="仿宋_GB2312"/>
          <w:sz w:val="26"/>
          <w:szCs w:val="26"/>
        </w:rPr>
        <w:t>（四）其他成效。</w:t>
      </w:r>
    </w:p>
    <w:p>
      <w:pPr>
        <w:pStyle w:val="34"/>
        <w:numPr>
          <w:ilvl w:val="0"/>
          <w:numId w:val="2"/>
        </w:numPr>
        <w:spacing w:line="400" w:lineRule="exact"/>
        <w:ind w:firstLineChars="0"/>
        <w:rPr>
          <w:rFonts w:ascii="黑体" w:eastAsia="黑体"/>
          <w:sz w:val="26"/>
          <w:szCs w:val="26"/>
        </w:rPr>
      </w:pPr>
      <w:r>
        <w:rPr>
          <w:rFonts w:hint="eastAsia" w:ascii="黑体" w:hAnsi="仿宋" w:eastAsia="黑体"/>
          <w:color w:val="000000"/>
          <w:sz w:val="26"/>
          <w:szCs w:val="26"/>
        </w:rPr>
        <w:t>存在的问题及原因分析</w:t>
      </w:r>
    </w:p>
    <w:p>
      <w:pPr>
        <w:pStyle w:val="34"/>
        <w:spacing w:line="400" w:lineRule="exact"/>
        <w:ind w:firstLineChars="0"/>
        <w:rPr>
          <w:rFonts w:ascii="仿宋_GB2312" w:eastAsia="仿宋_GB2312"/>
          <w:sz w:val="26"/>
          <w:szCs w:val="26"/>
        </w:rPr>
      </w:pPr>
      <w:r>
        <w:rPr>
          <w:rFonts w:hint="eastAsia" w:ascii="仿宋_GB2312" w:eastAsia="仿宋_GB2312"/>
          <w:sz w:val="26"/>
          <w:szCs w:val="26"/>
        </w:rPr>
        <w:t>（一）存在的实际问题。</w:t>
      </w:r>
    </w:p>
    <w:p>
      <w:pPr>
        <w:pStyle w:val="34"/>
        <w:spacing w:line="400" w:lineRule="exact"/>
        <w:ind w:firstLineChars="0"/>
        <w:rPr>
          <w:rFonts w:ascii="仿宋_GB2312" w:eastAsia="仿宋_GB2312"/>
          <w:sz w:val="26"/>
          <w:szCs w:val="26"/>
        </w:rPr>
      </w:pPr>
      <w:r>
        <w:rPr>
          <w:rFonts w:hint="eastAsia" w:ascii="仿宋_GB2312" w:eastAsia="仿宋_GB2312"/>
          <w:sz w:val="26"/>
          <w:szCs w:val="26"/>
        </w:rPr>
        <w:t>（二）原因分析。</w:t>
      </w:r>
    </w:p>
    <w:p>
      <w:pPr>
        <w:pStyle w:val="34"/>
        <w:spacing w:line="400" w:lineRule="exact"/>
        <w:ind w:firstLineChars="0"/>
        <w:rPr>
          <w:rFonts w:ascii="仿宋_GB2312" w:eastAsia="仿宋_GB2312"/>
          <w:sz w:val="26"/>
          <w:szCs w:val="26"/>
        </w:rPr>
      </w:pPr>
      <w:r>
        <w:rPr>
          <w:rFonts w:hint="eastAsia" w:ascii="仿宋_GB2312" w:eastAsia="仿宋_GB2312"/>
          <w:sz w:val="26"/>
          <w:szCs w:val="26"/>
        </w:rPr>
        <w:t>（三）改进措施。</w:t>
      </w:r>
    </w:p>
    <w:p>
      <w:pPr>
        <w:pStyle w:val="34"/>
        <w:numPr>
          <w:ilvl w:val="0"/>
          <w:numId w:val="2"/>
        </w:numPr>
        <w:spacing w:line="400" w:lineRule="exact"/>
        <w:ind w:firstLineChars="0"/>
        <w:rPr>
          <w:rFonts w:ascii="黑体" w:eastAsia="黑体"/>
          <w:sz w:val="26"/>
          <w:szCs w:val="26"/>
        </w:rPr>
      </w:pPr>
      <w:r>
        <w:rPr>
          <w:rFonts w:hint="eastAsia" w:ascii="黑体" w:hAnsi="仿宋" w:eastAsia="黑体"/>
          <w:color w:val="000000"/>
          <w:sz w:val="26"/>
          <w:szCs w:val="26"/>
        </w:rPr>
        <w:t>加强行政事业资产管理工作的建议</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（一）从管理体制、工作机制和工作流程等方面提出加强行政事业资产管理工作的建议。</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（二）对本地区、本部门行政事业单位国有资产管理的工作思路和规划。</w:t>
      </w:r>
    </w:p>
    <w:p>
      <w:pPr>
        <w:spacing w:line="400" w:lineRule="exact"/>
        <w:ind w:firstLine="520" w:firstLineChars="200"/>
        <w:rPr>
          <w:rFonts w:ascii="仿宋_GB2312" w:eastAsia="仿宋_GB2312"/>
          <w:sz w:val="26"/>
          <w:szCs w:val="26"/>
        </w:rPr>
      </w:pPr>
      <w:r>
        <w:rPr>
          <w:rFonts w:hint="eastAsia" w:ascii="仿宋_GB2312" w:eastAsia="仿宋_GB2312"/>
          <w:sz w:val="26"/>
          <w:szCs w:val="26"/>
        </w:rPr>
        <w:t>（三）其他意见建议。</w:t>
      </w:r>
    </w:p>
    <w:p>
      <w:pPr>
        <w:pStyle w:val="34"/>
        <w:numPr>
          <w:ilvl w:val="0"/>
          <w:numId w:val="2"/>
        </w:numPr>
        <w:spacing w:line="400" w:lineRule="exact"/>
        <w:ind w:firstLineChars="0"/>
        <w:rPr>
          <w:rFonts w:ascii="黑体" w:hAnsi="仿宋" w:eastAsia="黑体"/>
          <w:color w:val="000000"/>
          <w:sz w:val="26"/>
          <w:szCs w:val="26"/>
        </w:rPr>
      </w:pPr>
      <w:r>
        <w:rPr>
          <w:rFonts w:hint="eastAsia" w:ascii="黑体" w:hAnsi="仿宋" w:eastAsia="黑体"/>
          <w:color w:val="000000"/>
          <w:sz w:val="26"/>
          <w:szCs w:val="26"/>
        </w:rPr>
        <w:t>其他需要报告的重要事项</w:t>
      </w:r>
    </w:p>
    <w:p>
      <w:pPr>
        <w:pStyle w:val="12"/>
        <w:widowControl w:val="0"/>
        <w:spacing w:line="432" w:lineRule="auto"/>
        <w:jc w:val="both"/>
        <w:rPr>
          <w:rFonts w:ascii="仿宋_GB2312" w:hAnsi="Arial" w:eastAsia="仿宋_GB2312" w:cs="Arial"/>
          <w:sz w:val="30"/>
          <w:szCs w:val="30"/>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spacing w:line="400" w:lineRule="exact"/>
        <w:rPr>
          <w:rFonts w:ascii="方正仿宋简体" w:hAnsi="方正仿宋简体" w:eastAsia="方正仿宋简体" w:cs="方正仿宋简体"/>
          <w:b/>
          <w:color w:val="185895"/>
          <w:kern w:val="0"/>
          <w:sz w:val="26"/>
          <w:szCs w:val="26"/>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(七)事业资产产权登记</w:t>
      </w: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事业单位及事业单位所办企业国有资产</w:t>
      </w: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产权登记管理办法</w:t>
      </w:r>
    </w:p>
    <w:p>
      <w:pPr>
        <w:widowControl/>
        <w:wordWrap w:val="0"/>
        <w:spacing w:after="136" w:line="400" w:lineRule="exact"/>
        <w:ind w:firstLine="600" w:firstLineChars="200"/>
        <w:jc w:val="center"/>
        <w:rPr>
          <w:rFonts w:ascii="黑体" w:hAnsi="黑体" w:eastAsia="黑体" w:cs="黑体"/>
          <w:kern w:val="0"/>
          <w:sz w:val="30"/>
          <w:szCs w:val="30"/>
          <w:lang w:val="zh-CN" w:bidi="zh-CN"/>
        </w:rPr>
      </w:pPr>
      <w:r>
        <w:rPr>
          <w:rFonts w:hint="eastAsia" w:ascii="黑体" w:hAnsi="黑体" w:eastAsia="黑体" w:cs="黑体"/>
          <w:kern w:val="0"/>
          <w:sz w:val="30"/>
          <w:szCs w:val="30"/>
          <w:lang w:val="zh-CN" w:bidi="zh-CN"/>
        </w:rPr>
        <w:t>财教【2012】242号</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根据《企业国有资产产权登记管理办法》(国务院令第192号)和《事业单位国有资产管理暂行办法》(财政部令第36号)等有关规定，制定本办法。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事业单位国有资产产权登记(以下简称事业单位产权登记)，是指国家对事业单位占有、使用的国有资产进行登记，依法确认国家对国有资产的所有权和事业单位对国有资产的占有、使用权的行为。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事业单位所办企业国有资产产权登记(以下简称事业单位所办企业产权登记)，是指财政部门代表同级政府对占有国有资产的各级各类事业单位所办企业的资产、负债、所有者权益等产权状况进行登记，依法确认产权归属关系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占有、使用国有资产的各级各类事业单位及其所办企业，应当依照本办法的规定向其同级财政部门申报、办理国有资产产权登记。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各级财政部门核发的《中华人民共和国事业单位国有资产产权登记证(正本、副本)》(以下简称《事业单位产权登记证》)，是国家对事业单位国有资产享有所有权，单位享有占有、使用权的法律凭证，也是事业单位编制部门预算、办理资产配置、资产使用、资产处置和办理其他资产管理事项的重要依据；各级财政部门核发的《中华人民共和国企业国有资产产权登记证(正本、副本)》(以下简称《企业产权登记证》)是依法确认事业单位所办企业产权归属关系的法律凭证和依法经营国有资本的基本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各类产权登记表是办理各项产权登记事项应当提交的重要材料，各级财政部门根据经审定的产权登记表向事业单位或其所办企业核发、换发、收回《事业单位产权登记证》或《企业产权登记证》。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《事业单位产权登记证》、《企业产权登记证》和产权登记表由财政部统一设计印制。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事业单位及其所办企业产权登记按照“统一政策、分级管理”原则由各级财政部门负责组织实施。事业单位产权登记按照财务隶属关系组织实施；事业单位所办企业产权登记按照产权关系组织实施。[2]</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事业单位产权登记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第一节</w:t>
      </w:r>
      <w:r>
        <w:rPr>
          <w:rFonts w:hint="eastAsia" w:ascii="方正仿宋简体" w:hAnsi="方正仿宋简体" w:eastAsia="方正仿宋简体" w:cs="方正仿宋简体"/>
          <w:sz w:val="26"/>
          <w:szCs w:val="26"/>
        </w:rPr>
        <w:t xml:space="preserve"> 一般规定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事业单位产权登记的主要内容包括：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(一)单位名称、地址、法定代表人及成立日期；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(二)单位(性质)分类、主管部门、财务预算信息、管理级次、编制人数；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(三)单位资产总额、国有资产总额、固定资产总额、主要资产实物量及对外投资、资产出租出借情况；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(四)其他需要登记的事项。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财政部负责制定事业单位产权登记规章 制度，负责组织实施中央级事业单位产权登记工作，指导下级财政部门的事业单位产权登记工作。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地方各级财政部门负责组织实施本级事业单位产权登记工作。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中央垂直管理部门所属事业单位的产权登记工作在主管部门审核的基础上，由财政部负责办理。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事业单位办理变动、注销产权登记或年度检查，单位改制，资产出租、出借，资产评估项目核准或备案等财政审批手续以及其他法律、法规规定的事项时应当向受理部门、单位出具《事业单位产权登记证》。如未按照规定出具《事业单位产权登记证》，受理部门、单位不予受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第二节</w:t>
      </w:r>
      <w:r>
        <w:rPr>
          <w:rFonts w:hint="eastAsia" w:ascii="方正仿宋简体" w:hAnsi="方正仿宋简体" w:eastAsia="方正仿宋简体" w:cs="方正仿宋简体"/>
          <w:sz w:val="26"/>
          <w:szCs w:val="26"/>
        </w:rPr>
        <w:t xml:space="preserve"> 登记形式和内容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事业单位产权登记包括占有产权登记、变动产权登记和注销产权登记。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占有产权登记适用于新设立和已经取得法人资格但尚未办理产权登记的事业单位。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新设立事业单位应当在审批机关批准设立后六十日内，经主管部门审核同意后，由主管部门向同级财政部门申请办理占有产权登记。申请办理时，单位应当填报《事业单位国有资产产权登记表(占有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(一)办理占有产权登记的申请；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(二)审批机关批准设立的文件；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(三)国有资产总额及来源证明；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(四)设置抵押、质押、留置或提供保证、定金以及资产被司法机关冻结的，应当提供相关文件和凭证；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(五)涉及土地、林地、海域、房屋、车辆等重要资产的，应当提供相关的产权证明材料；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(六)涉及对外投资的，应当提供财政部门、主管部门或事业单位的对外投资批复；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(七)涉及资产评估事项的，应当提交相关部门的核准或备案文件；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已经取得法人资格但尚未办理产权登记的事业单位，在申请办理占有产权登记时应当填报《事业单位国有资产产权登记表(占有登记)》，除提交第十二条 所列材料外，还应当提供以下文件、证件及有关资料：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(一)财政部门批复的上一年度财务报告；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(二)《事业单位法人证书》复印件；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(三)《中华人民共和国组织机构代码证》复印件。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变动产权登记适用于事业单位发生分立、合并、部分改制，以及单位名称、单位(性质)分类、人员编制数、主管部门、管理级次、预算级次发生变化，以及国有资产金额一次或累计变动超过国有资产总额20%(含)的行为事项。发生上述变动事项的事业单位应当自财政部门、主管部门等审批机关批准变动之日起六十日内，经主管部门审核同意后，由主管部门向同级财政部门申请办理变动产权登记。申请办理时填报《事业单位国有资产产权登记表(变动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(一)办理变动产权登记的申请；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(二)单位决议或会议纪要，主管部门、财政部门等审批机关批准变动的批复文件；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(三)《事业单位产权登记证》副本；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(四)《事业单位法人证书》复印件；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(五)财政部门批复的上一年度财务报告；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(六)设置抵押、质押、留置或提供保证、定金以及资产被司法机关冻结的，应当提供相关文件和凭证；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(七)涉及资产评估事项的，应当提交相关部门的核准或备案文件；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(八)涉及土地、林地、海域、房屋、车辆等重要资产的，应当提供相关的产权证明材料；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(九)涉及资产处置的，应当提交财政部门、主管部门或事业单位的资产处置批复文件；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(十)涉及对外投资情况发生变动的，应当提供相关材料；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(十一)财政部门要求提交的其他文件、证件及有关资料。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注销产权登记适用于因分立、合并、依法撤销或改制等原因被整体清算、注销和划转的事业单位。此类单位应当自财政部门、主管部门等审批机关批准上述行为之日起六十日内，经主管部门审核同意后，由主管部门向同级财政部门申请办理注销产权登记。申请办理时填报《事业单位国有资产产权登记表(注销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(一)办理注销产权登记的申请；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(二)单位决议或会议纪要，主管部门、财政部门等审批机关批准注销的批复，以及同级政府机构编制管理机关注销备案公告；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(三)单位的清算报告；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(四)单位的资产清查报告，资产评估报告及相关部门的资产评估项目核准或备案文件；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(五)事业单位属于有偿转让或整体改制的，应当提交有偿转让的合同协议或经相关部门批复的转制方案；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(六)财政部门批复的上一年度财务报告；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(七)设置抵押、质押、留置或提供保证、定金以及资产被司法机关冻结的，应当提供相关文件和凭证；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(八)《事业单位产权登记证》正本、副本；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(九)财政部门、主管部门的资产处置批复文件；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第三节 登记程序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申请办理产权登记的程序如下：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(一)事业单位按照规定填写相应的产权登记表，提交有关文件、证件及资料；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(二)报主管部门审核并出具意见；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(三)由主管部门报同级财政部门办理审定手续；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(四)财政部门依据审定合格的设立、变动、注销情况予以核发、换发或收回《事业单位产权登记证》，依据年度检查情况签署产权登记检查意见。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事业单位占有、使用国有资产的状况以按照规定最近一次办理产权登记或年度检查时财政部门审定的数额为准。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事业单位有下列行为之一的，财政部门应当要求其更正，拒不更正的，财政部门不予办理产权登记。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(一)填报的产权登记表内容或提交的文件、证件及有关资料违反法律、法规的规定或不符合本办法要求的；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(二)以实物或无形资产出资，未按照国家有关规定进行资产评估或依法折股，或者未按照规定办理资产评估项目核准或备案的；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(三)事业单位对外投资、出租出借、产权变动行为违反法律、法规和国家有关政策规定；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(四)其他违反法律法规情形的。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未及时办理产权登记的事业单位在补办产权登记时，应当书面说明原因。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事业单位国有资产若设置抵押、质押、留置或提供保证、定金以及资产被司法机关冻结的，应当在申请办理产权登记时如实向财政部门、主管部门报告。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未办理占有产权登记的事业单位依法被注销时，应当先补办占有产权登记，再按照本办法的规定申请办理注销产权登记。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产权归属关系不清楚、发生产权纠纷或资产被司法机关冻结的，应当暂缓办理产权登记，并在产权界定清楚、产权纠纷处理完毕或资产被司法机关解冻后，及时办理产权登记。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财政部门核准事业单位注销产权登记后，应当及时收回被注销事业单位的《事业单位产权登记证》正本、副本。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第四节 年度检查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事业单位产权登记实行年度检查制度。各级财政部门应当依据资产管理信息系统数据、单位财务数据和年度资产产权变动的资料、法定批复文件等，对事业单位国有资产产权登记实行年度检查。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第二十四条 </w:t>
      </w:r>
      <w:r>
        <w:rPr>
          <w:rFonts w:hint="eastAsia" w:ascii="方正仿宋简体" w:hAnsi="方正仿宋简体" w:eastAsia="方正仿宋简体" w:cs="方正仿宋简体"/>
          <w:sz w:val="26"/>
          <w:szCs w:val="26"/>
        </w:rPr>
        <w:t>事业单位应当于年度财务报告批复后一个月内，经主管部门审核同意后，由主管部门向同级财政部门申请办理产权登记年度检查。主要内容包括：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(一)按规定办理产权登记情况；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(二)单位国有资产存量的占有、使用情况；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(三)用于从事对外投资、出租出借的国有资产保值增值及收益使用情况；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(四)单位资产价值量、主要资产实物量及权属的增减变化情况；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(五)单位资产处置情况；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(六)财政部门规定的其他情况。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事业单位应当清查核实年末国有资产情况，准确申报国有资产数据，如实填报《事业单位国有资产产权登记表(年度检查)》，并提交《事业单位产权登记证》副本、财政部门批复的单位上一年度财务报告、国有资产增减变动审批文件及其他有关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主管部门应当于本部门所属事业单位年度财务报告批复后四个月内，编制并向同级财政部门报送本部门事业单位产权登记和产权变动情况分析报告。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财政部门应当于向本级各部门批复决算后六个月内，编制并向同级政府和上级财政部门报送事业单位产权登记和产权变动情况分析报告。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w:t>
      </w:r>
      <w:r>
        <w:rPr>
          <w:rFonts w:hint="eastAsia" w:ascii="方正仿宋简体" w:hAnsi="方正仿宋简体" w:eastAsia="方正仿宋简体" w:cs="方正仿宋简体"/>
          <w:sz w:val="26"/>
          <w:szCs w:val="26"/>
          <w:highlight w:val="yellow"/>
        </w:rPr>
        <w:t>事业单位应当按照财政部门的规定及时办理产权登记年度</w:t>
      </w:r>
      <w:r>
        <w:rPr>
          <w:rFonts w:hint="eastAsia" w:ascii="方正仿宋简体" w:hAnsi="方正仿宋简体" w:eastAsia="方正仿宋简体" w:cs="方正仿宋简体"/>
          <w:sz w:val="26"/>
          <w:szCs w:val="26"/>
        </w:rPr>
        <w:t>检查。财政部门在年度检查中发现未及时办理产权登记的，应当督促其按照本办法的规定补办产权登记。未补办产权登记的，其年度检查不予通过。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不按照规定办理年度检查或年度检查未通过的，应当限期办理或改正，逾期仍未办理或改正的，暂停办理其相关资产管理审批事项。[2]</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事业单位所办企业产权登记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第一节</w:t>
      </w:r>
      <w:r>
        <w:rPr>
          <w:rFonts w:hint="eastAsia" w:ascii="方正仿宋简体" w:hAnsi="方正仿宋简体" w:eastAsia="方正仿宋简体" w:cs="方正仿宋简体"/>
          <w:sz w:val="26"/>
          <w:szCs w:val="26"/>
        </w:rPr>
        <w:t xml:space="preserve"> 一般规定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事业单位所办的国有独资企业、国有独资公司、国有控股公司和国有参股公司以及其他占有、使用国有资产的企业，应当依照本办法的规定办理事业单位所办企业产权登记。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各级财政部门是本级事业单位所办企业产权登记的主管部门，依法履行下列职责：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(一)依法确认企业产权归属，理顺企业产权关系；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(二)掌握企业国有资产占有、使用状况；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(三)监管企业的国有产权变动；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(四)检查企业国有资产经营状况；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(五)监督国有企业、国有独资公司、国有控股公司的出资行为；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(六)在汇总、分析基础上，编制并向同级政府和上级财政部门报送产权登记和产权变动状况的分析报告。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财政部负责制定事业单位所办企业产权登记的规章 制度，负责组织实施中央级事业单位所办企业产权登记工作，指导下级财政部门开展事业单位所办企业产权登记工作。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地方各级财政部门负责组织实施本级事业单位所办企业的产权登记工作。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中央垂直管理部门所属事业单位所办企业的产权登记工作在主管部门审核的基础上，由财政部负责办理。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由两个(含两个)以上国有资本出资人共同投资设立的企业，按照国有资本出资额最大的出资人产权归属关系确定企业产权登记管辖的部门。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国有资本出资额最大的出资人存在多个的，按照企业自行推举的出资人的产权归属关系确定企业产权登记的管辖部门，其余出资人出具产权登记委托书。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第三十二条</w:t>
      </w:r>
      <w:r>
        <w:rPr>
          <w:rFonts w:hint="eastAsia" w:ascii="方正仿宋简体" w:hAnsi="方正仿宋简体" w:eastAsia="方正仿宋简体" w:cs="方正仿宋简体"/>
          <w:sz w:val="26"/>
          <w:szCs w:val="26"/>
        </w:rPr>
        <w:t xml:space="preserve"> 事业单位所办企业在进行资产重组、产权转让、改制上市、国有股权评估以及办理其他法律、法规规定的事项时应当出具《企业产权登记证》。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第二节</w:t>
      </w:r>
      <w:r>
        <w:rPr>
          <w:rFonts w:hint="eastAsia" w:ascii="方正仿宋简体" w:hAnsi="方正仿宋简体" w:eastAsia="方正仿宋简体" w:cs="方正仿宋简体"/>
          <w:sz w:val="26"/>
          <w:szCs w:val="26"/>
        </w:rPr>
        <w:t xml:space="preserve"> 登记形式和内容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事业单位所办企业产权登记包括占有产权登记、变动产权登记和注销产权登记。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占有产权登记适用于申请取得法人资格的新设立企业和已取得法人资格但尚未办理产权登记的企业。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新设立企业应当于申请办理工商注册登记前六十日内，经主管部门审核同意后，由主管部门向同级财政部门申请办理占有产权登记，填报《企业国有资产产权登记表(占有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(一)办理占有产权登记的申请；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(二)出资人母公司或上级单位批准设立的文件、投资协议书；事业单位直接投资设立企业的，应当提交《事业单位产权登记证》副本复印件及财政部门、主管部门或事业单位批准的对外投资批复文件；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(三)本企业章 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(四)由企业出资的，应当提交各出资人的企业章 程、《企业法人营业执照》复印件、经审计的企业上一年度财务报告，其中国有资本出资人还应当提交有关部门办理的《企业产权登记证》复印件；由事业单位出资的，应当提交《事业单位法人证书》和《事业单位产权登记证》副本的复印件；由自然人出资的，应当提交自然人有效的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(五)法定机构出具的验资报告，其中以货币投资的，还应当附银行进账单；以实物、无形资产投资的，还应当提交资产评估项目核准或备案文件；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(六)本企业的《企业名称预先核准通知书》；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第三十六条</w:t>
      </w:r>
      <w:r>
        <w:rPr>
          <w:rFonts w:hint="eastAsia" w:ascii="方正仿宋简体" w:hAnsi="方正仿宋简体" w:eastAsia="方正仿宋简体" w:cs="方正仿宋简体"/>
          <w:sz w:val="26"/>
          <w:szCs w:val="26"/>
        </w:rPr>
        <w:t xml:space="preserve"> 已经取得法人资格但尚未办理占有产权登记的企业，应当填报《企业国有资产产权登记表(占有登记)》，并提交第三十五条 第(一)款至第(五)款规定的材料，以及下列文件、证件及有关资料：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(一)本企业经审计的企业上一年度财务报告；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(二)本企业的《企业法人营业执照》复印件；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(三)设置抵押、质押、留置或提供保证、定金以及资产被司法机关冻结的，应当提交相关文件和凭证；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第三十七条</w:t>
      </w:r>
      <w:r>
        <w:rPr>
          <w:rFonts w:hint="eastAsia" w:ascii="方正仿宋简体" w:hAnsi="方正仿宋简体" w:eastAsia="方正仿宋简体" w:cs="方正仿宋简体"/>
          <w:sz w:val="26"/>
          <w:szCs w:val="26"/>
        </w:rPr>
        <w:t xml:space="preserve"> 变动产权登记适用于企业发生企业名称、企业级次、企业组织形式改变，企业分立、合并或者经营形式改变，企业国有资本额、比例增减变动以及企业国有资本出资人变动的行为事项。发生上述变动事项的企业应当于审批机关核准变动登记后，或自企业股东大会、董事会做出决定之日起三十日内，经事业单位及主管部门审核同意后，由主管部门向同级财政部门申请办理变动产权登记，填报《企业国有资产产权登记表(变动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(一)办理变动产权登记的申请；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出资人母公司或上级单位的批准文件、企业股东大会或董事会做出的书面决定，事业单位追加投资的，应当提交《事业单位产权登记证》副本复印件及财政部门、主管部门或事业单位批准的对外投资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(三)修改后的本企业章 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(四)由企业出资的，应当提交各出资人的企业章 程、《企业法人营业执照》复印件、经审计的企业上一年度财务报告，其中，国有资本出资人应还当提交有关部门办理的《企业产权登记证》复印件；由事业单位出资的，应当提交《事业单位法人证书》和《事业单位产权登记证》副本的复印件；由自然人出资的，应当提交自然人有效的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(五)本企业的《企业法人营业执照》复印件，经审计的企业上一年度财务报告；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(六)本企业的《企业产权登记证》副本；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(七)设置抵押、质押、留置或提供保证、定金以及资产被司法机关冻结的，应当提交相关文件和凭证；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(八)法定机构出具的验资报告，其中以货币投资的应当附银行进账单；以实物、无形资产投资的应当提交资产评估项目核准或备案文件；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(九)企业合并、分立、转让或减少注册资本的，应当提交企业债务处置或承继情况说明及相关文件；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第三十八条</w:t>
      </w:r>
      <w:r>
        <w:rPr>
          <w:rFonts w:hint="eastAsia" w:ascii="方正仿宋简体" w:hAnsi="方正仿宋简体" w:eastAsia="方正仿宋简体" w:cs="方正仿宋简体"/>
          <w:sz w:val="26"/>
          <w:szCs w:val="26"/>
        </w:rPr>
        <w:t xml:space="preserve"> 注销产权登记适用于发生解散、依法撤销，转让全部国有产权(股权)或改制后不再设置国有股权的企业。此类企业应当自政府有关部门决定或财政部门、主管部门、事业单位或母公司批准之日起三十日内，经事业单位及主管部门审核同意后，由主管部门向同级财政部门申请办理注销产权登记；企业依法宣告破产的，应当自法院裁定之日起六十日内由企业破产清算机构向同级财政部门申请办理注销产权登记。填报《企业国有资产产权登记表(注销登记)》，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(一)办理注销产权登记的申请；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(二)出资人母公司获上级单位批准的文件，企业股东大会或董事会做出的书面决定，政府有关部门或财政部门、主管部门、事业单位的批复文件，工商行政管理机关责令关闭的文件或法院宣告企业破产的裁定书；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(三)经审计的企业上一年度财务报告；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(四)本企业的财产清查、清算报告、资产评估报告及相关部门的资产评估项目核准或备案文件；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(五)属于有偿转让或整体改制的，应当提交有偿转让或整体改制的协议或方案，以及受让企业的《企业法人营业执照》复印件、企业章 程、经审计的年度财务报告和设置抵押、质押、留置或提供保证、定金以及资产被司法机关冻结等情况的相关证明文件；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(六)本企业的《企业产权登记证》正本、副本和《企业法人营业执照》复印件；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(七)设置抵押、质押、留置或提供保证、定金以及资产被司法机关冻结的，应当提交相关文件和凭证；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(八)企业债务处置或承继情况说明及有关文件；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(九)企业的资产处置情况说明及相关批复文件；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(十)企业改制、破产或撤销的职工安置情况；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(十一)财政部门要求提交的其他文件、证件及有关资料。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第三节</w:t>
      </w:r>
      <w:r>
        <w:rPr>
          <w:rFonts w:hint="eastAsia" w:ascii="方正仿宋简体" w:hAnsi="方正仿宋简体" w:eastAsia="方正仿宋简体" w:cs="方正仿宋简体"/>
          <w:sz w:val="26"/>
          <w:szCs w:val="26"/>
        </w:rPr>
        <w:t xml:space="preserve"> 登记程序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第三十九条</w:t>
      </w:r>
      <w:r>
        <w:rPr>
          <w:rFonts w:hint="eastAsia" w:ascii="方正仿宋简体" w:hAnsi="方正仿宋简体" w:eastAsia="方正仿宋简体" w:cs="方正仿宋简体"/>
          <w:sz w:val="26"/>
          <w:szCs w:val="26"/>
        </w:rPr>
        <w:t xml:space="preserve"> 事业单位所办企业申请办理产权登记，应当按照规定填写相应的产权登记表，并提交文件、证件及有关资料。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第四十条</w:t>
      </w:r>
      <w:r>
        <w:rPr>
          <w:rFonts w:hint="eastAsia" w:ascii="方正仿宋简体" w:hAnsi="方正仿宋简体" w:eastAsia="方正仿宋简体" w:cs="方正仿宋简体"/>
          <w:sz w:val="26"/>
          <w:szCs w:val="26"/>
        </w:rPr>
        <w:t xml:space="preserve"> 事业单位直接出资的企业(一级企业)申请办理产权登记应当经事业单位及其主管部门出具审核意见，二级及二级以下企业申请办理产权登记应当经其上级企业、事业单位和主管部门出具审核意见。企业未按上述规定取得审核意见的，财政部门不予受理产权登记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第四十一条</w:t>
      </w:r>
      <w:r>
        <w:rPr>
          <w:rFonts w:hint="eastAsia" w:ascii="方正仿宋简体" w:hAnsi="方正仿宋简体" w:eastAsia="方正仿宋简体" w:cs="方正仿宋简体"/>
          <w:sz w:val="26"/>
          <w:szCs w:val="26"/>
        </w:rPr>
        <w:t xml:space="preserve"> 财政部门对审定合格的企业，办理产权登记事项，并依据审定的设立、变动、注销情况予以核发、换发或收回《企业产权登记证》，依据年度检查情况签署产权登记年度检查意见。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第四十二条</w:t>
      </w:r>
      <w:r>
        <w:rPr>
          <w:rFonts w:hint="eastAsia" w:ascii="方正仿宋简体" w:hAnsi="方正仿宋简体" w:eastAsia="方正仿宋简体" w:cs="方正仿宋简体"/>
          <w:sz w:val="26"/>
          <w:szCs w:val="26"/>
        </w:rPr>
        <w:t xml:space="preserve"> 事业单位所办企业占有、使用国有资产状况以按照规定最近一次办理产权登记时财政部门审定的数额为准。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第四十三条</w:t>
      </w:r>
      <w:r>
        <w:rPr>
          <w:rFonts w:hint="eastAsia" w:ascii="方正仿宋简体" w:hAnsi="方正仿宋简体" w:eastAsia="方正仿宋简体" w:cs="方正仿宋简体"/>
          <w:sz w:val="26"/>
          <w:szCs w:val="26"/>
        </w:rPr>
        <w:t xml:space="preserve"> 事业单位所办企业有下列行为之一的，财政部门应当要求其更正，拒不更正的，财政部门不予办理产权登记：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(一)填报产权登记表的内容或提交的文件、证件及有关资料违反法律、法规或不符合本办法要求的；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(二)以实物或无形资产出资，未按照国家有关规定进行资产评估或依法折股的，或者未按照规定办理资产评估项目核准或备案的；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(三)事业单位所办企业的对外投资、产权变动行为违反法律、法规和国家有关政策规定，使国有资产权益受到侵害的；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(四)其他违反法律法规情形的。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第四十四条</w:t>
      </w:r>
      <w:r>
        <w:rPr>
          <w:rFonts w:hint="eastAsia" w:ascii="方正仿宋简体" w:hAnsi="方正仿宋简体" w:eastAsia="方正仿宋简体" w:cs="方正仿宋简体"/>
          <w:sz w:val="26"/>
          <w:szCs w:val="26"/>
        </w:rPr>
        <w:t xml:space="preserve"> 未及时办理产权登记的企业在补办产权登记时，应当书面说明原因和具体情况。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以事业单位所办企业的资产设置抵押、质押、留置或提供保证、定金以及资产被司法机关冻结的，应当在申请办理产权登记时如实向财政部门、主管部门、事业单位报告。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事业单位所办企业中，已设置抵押、质押、留置或提供保证、定金的资产用于投资或产权转让的，应当符合《中华人民共和国担保法》等有关法律、法规的规定，否则不予登记。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第四十五条</w:t>
      </w:r>
      <w:r>
        <w:rPr>
          <w:rFonts w:hint="eastAsia" w:ascii="方正仿宋简体" w:hAnsi="方正仿宋简体" w:eastAsia="方正仿宋简体" w:cs="方正仿宋简体"/>
          <w:sz w:val="26"/>
          <w:szCs w:val="26"/>
        </w:rPr>
        <w:t xml:space="preserve"> 未办理占有产权登记的事业单位所办企业依法被注销时，应当先补办占有产权登记，再按照本办法的规定申请办理注销产权登记。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未办理占有产权登记的企业，补办占有产权登记时，应当提交企业设立和自企业设立至补办占有产权登记时发生的历次产权变动的文件、证件及有关资料。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第四十六条</w:t>
      </w:r>
      <w:r>
        <w:rPr>
          <w:rFonts w:hint="eastAsia" w:ascii="方正仿宋简体" w:hAnsi="方正仿宋简体" w:eastAsia="方正仿宋简体" w:cs="方正仿宋简体"/>
          <w:sz w:val="26"/>
          <w:szCs w:val="26"/>
        </w:rPr>
        <w:t xml:space="preserve"> 产权归属关系不清楚、发生产权纠纷或资产被司法机关冻结的，应当暂缓办理产权登记，并在产权界定清楚、产权纠纷处理完毕或资产被司法机关解冻后，及时办理产权登记。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第四十七条</w:t>
      </w:r>
      <w:r>
        <w:rPr>
          <w:rFonts w:hint="eastAsia" w:ascii="方正仿宋简体" w:hAnsi="方正仿宋简体" w:eastAsia="方正仿宋简体" w:cs="方正仿宋简体"/>
          <w:sz w:val="26"/>
          <w:szCs w:val="26"/>
        </w:rPr>
        <w:t xml:space="preserve"> 新设立的事业单位所办企业依据财政部门审定的产权登记表向工商行政管理部门申办企业法人登记后三十日内到财政部门领取《企业产权登记证》正本、副本，同时提交《企业法人营业执照》副本复印件。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财政部门核准事业单位所办企业注销产权登记后，应当及时收回被注销的《企业产权登记证》正本、副本。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第四节</w:t>
      </w:r>
      <w:r>
        <w:rPr>
          <w:rFonts w:hint="eastAsia" w:ascii="方正仿宋简体" w:hAnsi="方正仿宋简体" w:eastAsia="方正仿宋简体" w:cs="方正仿宋简体"/>
          <w:sz w:val="26"/>
          <w:szCs w:val="26"/>
        </w:rPr>
        <w:t xml:space="preserve"> 年度检查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第四十八条</w:t>
      </w:r>
      <w:r>
        <w:rPr>
          <w:rFonts w:hint="eastAsia" w:ascii="方正仿宋简体" w:hAnsi="方正仿宋简体" w:eastAsia="方正仿宋简体" w:cs="方正仿宋简体"/>
          <w:sz w:val="26"/>
          <w:szCs w:val="26"/>
        </w:rPr>
        <w:t xml:space="preserve"> 事业单位所办企业产权登记实行年度检查制度。各级财政部门应当在已办理相关产权登记的基础上，对事业单位所办企业产权登记实行年度检查。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第四十九条</w:t>
      </w:r>
      <w:r>
        <w:rPr>
          <w:rFonts w:hint="eastAsia" w:ascii="方正仿宋简体" w:hAnsi="方正仿宋简体" w:eastAsia="方正仿宋简体" w:cs="方正仿宋简体"/>
          <w:sz w:val="26"/>
          <w:szCs w:val="26"/>
        </w:rPr>
        <w:t xml:space="preserve"> 事业单位所办企业应当于每个公历年度终了后四个月内，在办理工商年检登记之前，向同级财政部门申请办理产权登记年度检查。主要内容包括：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(一)出资人的资金实际到位情况；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(二)企业经营收益和国有出资人收益情况；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(三)企业对外投资收益情况；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(四)财政部门规定的其他情况。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第五十条</w:t>
      </w:r>
      <w:r>
        <w:rPr>
          <w:rFonts w:hint="eastAsia" w:ascii="方正仿宋简体" w:hAnsi="方正仿宋简体" w:eastAsia="方正仿宋简体" w:cs="方正仿宋简体"/>
          <w:sz w:val="26"/>
          <w:szCs w:val="26"/>
        </w:rPr>
        <w:t xml:space="preserve"> 事业单位所办企业办理年度检查应当填报《企业国有资产产权登记表(年度检查)》，并提交下列文件、证件及有关资料：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(一)申办产权登记年度检查的申请；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(二)经审计的企业上一年度财务报告；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(三)企业的《企业产权登记证》副本和《企业法人营业执照》复印件；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(四)企业国有资产经营年度报告书；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(五)财政部门要求提交的其他文件、证件及有关资料。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第五十一条</w:t>
      </w:r>
      <w:r>
        <w:rPr>
          <w:rFonts w:hint="eastAsia" w:ascii="方正仿宋简体" w:hAnsi="方正仿宋简体" w:eastAsia="方正仿宋简体" w:cs="方正仿宋简体"/>
          <w:sz w:val="26"/>
          <w:szCs w:val="26"/>
        </w:rPr>
        <w:t xml:space="preserve"> 企业国有资产经营年度报告书是反映企业在检查年度内国有资产经营状况和产权变动情况的书面文件。主要报告以下内容：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(一)企业国有资产保值增值情况；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(二)企业国有资本金实际到位和增减变动情况；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(三)企业及其所属各级子公司等发生产权变动，是否及时办理相应产权登记手续的情况；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(四)企业对外投资及投资收益情况；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(五)企业及其子公司提供保证、定金或设置抵押、质押、留置以及资产被司法机关冻结等产权或有变动情况；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(六)企业及其所属各级子公司等涉及国有产权分立、合并、改制上市等重大情况；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(七)其他需要说明的问题。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第五十二条</w:t>
      </w:r>
      <w:r>
        <w:rPr>
          <w:rFonts w:hint="eastAsia" w:ascii="方正仿宋简体" w:hAnsi="方正仿宋简体" w:eastAsia="方正仿宋简体" w:cs="方正仿宋简体"/>
          <w:sz w:val="26"/>
          <w:szCs w:val="26"/>
        </w:rPr>
        <w:t xml:space="preserve"> 主管部门应当于每个公历年度终了后五个月内，编制并向同级财政部门报送事业单位所办企业产权登记和产权变动情况分析报告。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财政部门应当于每个公历年度终了后六个月内，编制并向同级政府和上级财政部门报送事业单位所办企业产权登记和产权变动情况分析报告。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第五十三条</w:t>
      </w:r>
      <w:r>
        <w:rPr>
          <w:rFonts w:hint="eastAsia" w:ascii="方正仿宋简体" w:hAnsi="方正仿宋简体" w:eastAsia="方正仿宋简体" w:cs="方正仿宋简体"/>
          <w:sz w:val="26"/>
          <w:szCs w:val="26"/>
        </w:rPr>
        <w:t xml:space="preserve"> 事业单位所办企业应当按照财政部门的规定及时办理年度检查。财政部门在年度检查中发现未及时办理产权登记的，应当督促其按照本办法的规定补办产权登记。未补办产权登记的，其年度检查不予通过。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不按照规定办理年度检查或年度检查未通过的，应当限期办理或改正，逾期仍未办理或改正的，暂停办理其涉及资产管理的财政审批事项。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第五十四条</w:t>
      </w:r>
      <w:r>
        <w:rPr>
          <w:rFonts w:hint="eastAsia" w:ascii="方正仿宋简体" w:hAnsi="方正仿宋简体" w:eastAsia="方正仿宋简体" w:cs="方正仿宋简体"/>
          <w:sz w:val="26"/>
          <w:szCs w:val="26"/>
        </w:rPr>
        <w:t xml:space="preserve"> 产权登记年度检查情况不作为确定企业国有产权归属的法律依据。企业不得以年度检查代替产权登记。</w:t>
      </w:r>
    </w:p>
    <w:p>
      <w:pPr>
        <w:spacing w:line="400" w:lineRule="exact"/>
        <w:ind w:firstLine="520" w:firstLineChars="200"/>
        <w:jc w:val="center"/>
        <w:rPr>
          <w:rFonts w:ascii="方正仿宋简体" w:hAnsi="方正仿宋简体" w:eastAsia="方正仿宋简体" w:cs="方正仿宋简体"/>
          <w:sz w:val="26"/>
          <w:szCs w:val="26"/>
        </w:rPr>
      </w:pPr>
      <w:r>
        <w:rPr>
          <w:rFonts w:hint="eastAsia" w:ascii="黑体" w:hAnsi="黑体" w:eastAsia="黑体" w:cs="黑体"/>
          <w:kern w:val="0"/>
          <w:sz w:val="26"/>
          <w:szCs w:val="26"/>
          <w:lang w:val="zh-CN" w:bidi="zh-CN"/>
        </w:rPr>
        <w:t>第四章 产权登记档案管理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第五十五条</w:t>
      </w:r>
      <w:r>
        <w:rPr>
          <w:rFonts w:hint="eastAsia" w:ascii="方正仿宋简体" w:hAnsi="方正仿宋简体" w:eastAsia="方正仿宋简体" w:cs="方正仿宋简体"/>
          <w:sz w:val="26"/>
          <w:szCs w:val="26"/>
        </w:rPr>
        <w:t xml:space="preserve"> 财政部门、主管部门、事业单位及其所办企业应当妥善保管《事业单位产权登记证》、《企业产权登记证》和各类产权登记表，建立产权登记档案。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产权登记实行信息化管理。产权登记管理信息系统是产权登记档案管理的重要手段，是行政事业资产管理信息系统的重要组成部分。财政部门、主管部门、事业单位及其所办企业应当根据占有、变动、注销产权登记和年度检查情况及时更新产权登记管理信息系统，对产权登记实行动态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第五十六条</w:t>
      </w:r>
      <w:r>
        <w:rPr>
          <w:rFonts w:hint="eastAsia" w:ascii="方正仿宋简体" w:hAnsi="方正仿宋简体" w:eastAsia="方正仿宋简体" w:cs="方正仿宋简体"/>
          <w:sz w:val="26"/>
          <w:szCs w:val="26"/>
        </w:rPr>
        <w:t xml:space="preserve"> 《事业单位产权登记证》和《企业产权登记证》是产权登记的法律文件。事业单位及其所办企业应当妥善保管。任何单位和个人不得伪造、涂改、出租、出借，如有遗失或者毁坏的，要及时在主要媒体公告或出具经主管部门、事业单位认定的书面说明后，按照规定向同级财政部门申请补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第五十七条</w:t>
      </w:r>
      <w:r>
        <w:rPr>
          <w:rFonts w:hint="eastAsia" w:ascii="方正仿宋简体" w:hAnsi="方正仿宋简体" w:eastAsia="方正仿宋简体" w:cs="方正仿宋简体"/>
          <w:sz w:val="26"/>
          <w:szCs w:val="26"/>
        </w:rPr>
        <w:t xml:space="preserve"> 事业单位及其所办企业申请办理产权登记时，应当将所提交的文件、证件及有关资料整理成卷，附加目录清单。未按要求提交规范文件、证件及有关资料的，财政部门不予受理。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第五十八条 </w:t>
      </w:r>
      <w:r>
        <w:rPr>
          <w:rFonts w:hint="eastAsia" w:ascii="方正仿宋简体" w:hAnsi="方正仿宋简体" w:eastAsia="方正仿宋简体" w:cs="方正仿宋简体"/>
          <w:sz w:val="26"/>
          <w:szCs w:val="26"/>
        </w:rPr>
        <w:t>因事业单位及其所办企业产权归属关系改变导致管理级次发生变更的，由原同级财政部门将该事业单位及其所办企业产权登记档案材料移交新的同级财政部门。[2]</w:t>
      </w:r>
    </w:p>
    <w:p>
      <w:pPr>
        <w:spacing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监督检查与法律责任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第五十九条</w:t>
      </w:r>
      <w:r>
        <w:rPr>
          <w:rFonts w:hint="eastAsia" w:ascii="方正仿宋简体" w:hAnsi="方正仿宋简体" w:eastAsia="方正仿宋简体" w:cs="方正仿宋简体"/>
          <w:sz w:val="26"/>
          <w:szCs w:val="26"/>
        </w:rPr>
        <w:t xml:space="preserve"> 各级财政部门、主管部门应当加强对事业单位及其所办企业产权登记情况的监督检查。对不按照本办法申请办理产权登记和产权登记年度检查的，依照国家有关法律规定追究责任。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第六十条 </w:t>
      </w:r>
      <w:r>
        <w:rPr>
          <w:rFonts w:hint="eastAsia" w:ascii="方正仿宋简体" w:hAnsi="方正仿宋简体" w:eastAsia="方正仿宋简体" w:cs="方正仿宋简体"/>
          <w:sz w:val="26"/>
          <w:szCs w:val="26"/>
        </w:rPr>
        <w:t>各级财政部门、主管部门的工作人员在办理产权登记中玩忽职守、徇私舞弊、滥用职权、谋取私利，构成犯罪的，依法追究刑事责任；未构成犯罪的，依法给予行政处分。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第六十一条</w:t>
      </w:r>
      <w:r>
        <w:rPr>
          <w:rFonts w:hint="eastAsia" w:ascii="方正仿宋简体" w:hAnsi="方正仿宋简体" w:eastAsia="方正仿宋简体" w:cs="方正仿宋简体"/>
          <w:sz w:val="26"/>
          <w:szCs w:val="26"/>
        </w:rPr>
        <w:t xml:space="preserve"> 事业单位及其所办企业发生国有产权变动而不及时办理产权登记手续或在办理产权登记事项时提供虚假信息等，导致《事业单位产权登记证》或《企业产权登记证》登录的信息与实际情况不符的，事业单位或企业应当承担相应的法律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第六十二条</w:t>
      </w:r>
      <w:r>
        <w:rPr>
          <w:rFonts w:hint="eastAsia" w:ascii="方正仿宋简体" w:hAnsi="方正仿宋简体" w:eastAsia="方正仿宋简体" w:cs="方正仿宋简体"/>
          <w:sz w:val="26"/>
          <w:szCs w:val="26"/>
        </w:rPr>
        <w:t xml:space="preserve"> 社会中介机构为企业出具虚假审计、验资报告或有关证明文件的，依照《中华人民共和国注册会计师法》等国家有关法律规定追究责任。</w:t>
      </w:r>
    </w:p>
    <w:p>
      <w:pPr>
        <w:spacing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附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第六十三条</w:t>
      </w:r>
      <w:r>
        <w:rPr>
          <w:rFonts w:hint="eastAsia" w:ascii="方正仿宋简体" w:hAnsi="方正仿宋简体" w:eastAsia="方正仿宋简体" w:cs="方正仿宋简体"/>
          <w:sz w:val="26"/>
          <w:szCs w:val="26"/>
        </w:rPr>
        <w:t xml:space="preserve"> 社会团体和民办非企业单位及其所办企业中占有、使用国有资产的，参照本办法执行。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参照公务员制度管理，并且执行事业单位财务、会计制度的事业单位和社会团体的产权登记，按照本办法执行。参照公务员制度管理，并且执行行政单位财务、会计制度的事业单位和社会团体的产权登记，按照国家关于行政单位国有资产管理的有关规定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第六十四条</w:t>
      </w:r>
      <w:r>
        <w:rPr>
          <w:rFonts w:hint="eastAsia" w:ascii="方正仿宋简体" w:hAnsi="方正仿宋简体" w:eastAsia="方正仿宋简体" w:cs="方正仿宋简体"/>
          <w:sz w:val="26"/>
          <w:szCs w:val="26"/>
        </w:rPr>
        <w:t xml:space="preserve"> 实行企业化管理并执行企业财务、会计制度的事业单位，按照本办法中事业单位所办企业产权登记管理的有关规定办理产权登记事项。执行事业单位财务、会计制度的企业所属事业单位产权登记，按照本办法中事业单位产权登记的有关规定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第六十五条</w:t>
      </w:r>
      <w:r>
        <w:rPr>
          <w:rFonts w:hint="eastAsia" w:ascii="方正仿宋简体" w:hAnsi="方正仿宋简体" w:eastAsia="方正仿宋简体" w:cs="方正仿宋简体"/>
          <w:sz w:val="26"/>
          <w:szCs w:val="26"/>
        </w:rPr>
        <w:t xml:space="preserve"> 境外事业单位及其所办企业产权登记办法，由财政部会同有关部门另行制定。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第六十六条</w:t>
      </w:r>
      <w:r>
        <w:rPr>
          <w:rFonts w:hint="eastAsia" w:ascii="方正仿宋简体" w:hAnsi="方正仿宋简体" w:eastAsia="方正仿宋简体" w:cs="方正仿宋简体"/>
          <w:sz w:val="26"/>
          <w:szCs w:val="26"/>
        </w:rPr>
        <w:t xml:space="preserve"> 中国人民解放军、武装警察部队以及经国家批准的某些特定行业的事业单位及其所办企业占有、使用国有资产的产权登记管理办法，由解放军总后勤部、武装警察部队和有关主管部门会同财政部另行制定。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第六十七条</w:t>
      </w:r>
      <w:r>
        <w:rPr>
          <w:rFonts w:hint="eastAsia" w:ascii="方正仿宋简体" w:hAnsi="方正仿宋简体" w:eastAsia="方正仿宋简体" w:cs="方正仿宋简体"/>
          <w:sz w:val="26"/>
          <w:szCs w:val="26"/>
        </w:rPr>
        <w:t xml:space="preserve"> 对涉及国家安全的事业单位及其所办企业产权登记工作，要按照国家有关保密制度规定，做好保密工作。</w:t>
      </w:r>
    </w:p>
    <w:p>
      <w:pPr>
        <w:spacing w:line="400" w:lineRule="exact"/>
        <w:ind w:firstLine="520" w:firstLineChars="200"/>
        <w:jc w:val="left"/>
        <w:rPr>
          <w:rFonts w:ascii="楷体" w:hAnsi="楷体" w:eastAsia="楷体" w:cs="楷体"/>
          <w:sz w:val="26"/>
          <w:szCs w:val="26"/>
        </w:rPr>
      </w:pPr>
      <w:r>
        <w:rPr>
          <w:rFonts w:hint="eastAsia" w:ascii="楷体" w:hAnsi="楷体" w:eastAsia="楷体" w:cs="楷体"/>
          <w:sz w:val="26"/>
          <w:szCs w:val="26"/>
        </w:rPr>
        <w:t xml:space="preserve">第六十八条 </w:t>
      </w:r>
      <w:r>
        <w:rPr>
          <w:rFonts w:hint="eastAsia" w:ascii="方正仿宋简体" w:hAnsi="方正仿宋简体" w:eastAsia="方正仿宋简体" w:cs="方正仿宋简体"/>
          <w:sz w:val="26"/>
          <w:szCs w:val="26"/>
        </w:rPr>
        <w:t>财政部门根据具体情况，可以委托有关部门或单位办理事业单位及其所办企业产权登记的部分事项，具体事项由财政部门与有关部门或单位商定。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第六十九条</w:t>
      </w:r>
      <w:r>
        <w:rPr>
          <w:rFonts w:hint="eastAsia" w:ascii="方正仿宋简体" w:hAnsi="方正仿宋简体" w:eastAsia="方正仿宋简体" w:cs="方正仿宋简体"/>
          <w:sz w:val="26"/>
          <w:szCs w:val="26"/>
        </w:rPr>
        <w:t xml:space="preserve"> 各省(自治区、直辖市、计划单列市)财政部门可根据本办法，制定本地区事业单位及其所办企业产权登记实施细则，并报财政部备案。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第七十条 </w:t>
      </w:r>
      <w:r>
        <w:rPr>
          <w:rFonts w:hint="eastAsia" w:ascii="方正仿宋简体" w:hAnsi="方正仿宋简体" w:eastAsia="方正仿宋简体" w:cs="方正仿宋简体"/>
          <w:sz w:val="26"/>
          <w:szCs w:val="26"/>
        </w:rPr>
        <w:t>本办法由财政部负责解释。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第七十一条</w:t>
      </w:r>
      <w:r>
        <w:rPr>
          <w:rFonts w:hint="eastAsia" w:ascii="方正仿宋简体" w:hAnsi="方正仿宋简体" w:eastAsia="方正仿宋简体" w:cs="方正仿宋简体"/>
          <w:sz w:val="26"/>
          <w:szCs w:val="26"/>
        </w:rPr>
        <w:t xml:space="preserve"> 本办法自2012年9月5日起施行。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tbl>
      <w:tblPr>
        <w:tblStyle w:val="14"/>
        <w:tblW w:w="5000" w:type="pct"/>
        <w:tblCellSpacing w:w="0" w:type="dxa"/>
        <w:tblInd w:w="0" w:type="dxa"/>
        <w:shd w:val="clear" w:color="auto" w:fill="FFFFFF"/>
        <w:tblLayout w:type="autofit"/>
        <w:tblCellMar>
          <w:top w:w="0" w:type="dxa"/>
          <w:left w:w="0" w:type="dxa"/>
          <w:bottom w:w="0" w:type="dxa"/>
          <w:right w:w="0" w:type="dxa"/>
        </w:tblCellMar>
      </w:tblPr>
      <w:tblGrid>
        <w:gridCol w:w="8498"/>
      </w:tblGrid>
      <w:tr>
        <w:tblPrEx>
          <w:shd w:val="clear" w:color="auto" w:fill="FFFFFF"/>
        </w:tblPrEx>
        <w:trPr>
          <w:tblCellSpacing w:w="0" w:type="dxa"/>
        </w:trPr>
        <w:tc>
          <w:tcPr>
            <w:tcW w:w="0" w:type="auto"/>
            <w:shd w:val="clear" w:color="auto" w:fill="FFFFFF"/>
            <w:vAlign w:val="center"/>
          </w:tcPr>
          <w:tbl>
            <w:tblPr>
              <w:tblStyle w:val="14"/>
              <w:tblW w:w="5000" w:type="pct"/>
              <w:tblCellSpacing w:w="0" w:type="dxa"/>
              <w:tblInd w:w="0" w:type="dxa"/>
              <w:tblLayout w:type="autofit"/>
              <w:tblCellMar>
                <w:top w:w="0" w:type="dxa"/>
                <w:left w:w="0" w:type="dxa"/>
                <w:bottom w:w="0" w:type="dxa"/>
                <w:right w:w="0" w:type="dxa"/>
              </w:tblCellMar>
            </w:tblPr>
            <w:tblGrid>
              <w:gridCol w:w="8498"/>
            </w:tblGrid>
            <w:tr>
              <w:tblPrEx>
                <w:tblCellMar>
                  <w:top w:w="0" w:type="dxa"/>
                  <w:left w:w="0" w:type="dxa"/>
                  <w:bottom w:w="0" w:type="dxa"/>
                  <w:right w:w="0" w:type="dxa"/>
                </w:tblCellMar>
              </w:tblPrEx>
              <w:trPr>
                <w:trHeight w:val="555" w:hRule="atLeast"/>
                <w:tblCellSpacing w:w="0" w:type="dxa"/>
              </w:trPr>
              <w:tc>
                <w:tcPr>
                  <w:tcW w:w="0" w:type="auto"/>
                  <w:vAlign w:val="center"/>
                </w:tcPr>
                <w:p>
                  <w:pPr>
                    <w:pStyle w:val="12"/>
                    <w:spacing w:line="929" w:lineRule="atLeast"/>
                    <w:jc w:val="center"/>
                    <w:rPr>
                      <w:rFonts w:ascii="方正小标宋简体" w:eastAsia="方正小标宋简体"/>
                      <w:b/>
                      <w:bCs/>
                      <w:color w:val="185895"/>
                      <w:sz w:val="40"/>
                      <w:szCs w:val="40"/>
                    </w:rPr>
                  </w:pPr>
                  <w:r>
                    <w:rPr>
                      <w:rFonts w:hint="eastAsia" w:ascii="方正小标宋简体" w:eastAsia="方正小标宋简体"/>
                      <w:b/>
                      <w:bCs/>
                      <w:color w:val="185895"/>
                      <w:sz w:val="40"/>
                      <w:szCs w:val="40"/>
                    </w:rPr>
                    <w:t>财政部关于修订《事业单位及事业单位所办企业国有资产产权登记管理办法》的通知</w:t>
                  </w:r>
                </w:p>
              </w:tc>
            </w:tr>
          </w:tbl>
          <w:p>
            <w:pPr>
              <w:spacing w:line="464" w:lineRule="atLeast"/>
              <w:rPr>
                <w:vanish/>
                <w:color w:val="000000"/>
                <w:sz w:val="26"/>
                <w:szCs w:val="26"/>
              </w:rPr>
            </w:pPr>
          </w:p>
          <w:tbl>
            <w:tblPr>
              <w:tblStyle w:val="14"/>
              <w:tblW w:w="5000" w:type="pct"/>
              <w:tblCellSpacing w:w="0" w:type="dxa"/>
              <w:tblInd w:w="0" w:type="dxa"/>
              <w:tblLayout w:type="autofit"/>
              <w:tblCellMar>
                <w:top w:w="0" w:type="dxa"/>
                <w:left w:w="0" w:type="dxa"/>
                <w:bottom w:w="0" w:type="dxa"/>
                <w:right w:w="0" w:type="dxa"/>
              </w:tblCellMar>
            </w:tblPr>
            <w:tblGrid>
              <w:gridCol w:w="8498"/>
            </w:tblGrid>
            <w:tr>
              <w:tblPrEx>
                <w:tblCellMar>
                  <w:top w:w="0" w:type="dxa"/>
                  <w:left w:w="0" w:type="dxa"/>
                  <w:bottom w:w="0" w:type="dxa"/>
                  <w:right w:w="0" w:type="dxa"/>
                </w:tblCellMar>
              </w:tblPrEx>
              <w:trPr>
                <w:trHeight w:val="15" w:hRule="atLeast"/>
                <w:tblCellSpacing w:w="0" w:type="dxa"/>
              </w:trPr>
              <w:tc>
                <w:tcPr>
                  <w:tcW w:w="0" w:type="auto"/>
                  <w:vAlign w:val="center"/>
                </w:tcPr>
                <w:p>
                  <w:pPr>
                    <w:spacing w:line="15" w:lineRule="atLeast"/>
                    <w:rPr>
                      <w:rFonts w:ascii="宋体" w:hAnsi="宋体" w:eastAsia="宋体" w:cs="宋体"/>
                      <w:sz w:val="26"/>
                      <w:szCs w:val="26"/>
                    </w:rPr>
                  </w:pPr>
                  <w:r>
                    <w:rPr>
                      <w:sz w:val="26"/>
                      <w:szCs w:val="26"/>
                    </w:rPr>
                    <w:pict>
                      <v:rect id="_x0000_i1025" o:spt="1" style="height:1.05pt;width:752.25pt;" fillcolor="#99C2E2" filled="t" stroked="f" coordsize="21600,21600" o:hr="t" o:hrstd="t" o:hrnoshade="t" o:hrpct="0" o:hralign="center">
                        <v:path/>
                        <v:fill on="t" focussize="0,0"/>
                        <v:stroke on="f"/>
                        <v:imagedata o:title=""/>
                        <o:lock v:ext="edit"/>
                        <w10:wrap type="none"/>
                        <w10:anchorlock/>
                      </v:rect>
                    </w:pict>
                  </w:r>
                </w:p>
              </w:tc>
            </w:tr>
          </w:tbl>
          <w:p>
            <w:pPr>
              <w:spacing w:line="464" w:lineRule="atLeast"/>
              <w:rPr>
                <w:vanish/>
                <w:color w:val="000000"/>
                <w:sz w:val="26"/>
                <w:szCs w:val="26"/>
              </w:rPr>
            </w:pPr>
          </w:p>
          <w:tbl>
            <w:tblPr>
              <w:tblStyle w:val="14"/>
              <w:tblW w:w="5000" w:type="pct"/>
              <w:tblCellSpacing w:w="0" w:type="dxa"/>
              <w:tblInd w:w="0" w:type="dxa"/>
              <w:tblLayout w:type="autofit"/>
              <w:tblCellMar>
                <w:top w:w="0" w:type="dxa"/>
                <w:left w:w="0" w:type="dxa"/>
                <w:bottom w:w="0" w:type="dxa"/>
                <w:right w:w="0" w:type="dxa"/>
              </w:tblCellMar>
            </w:tblPr>
            <w:tblGrid>
              <w:gridCol w:w="8498"/>
            </w:tblGrid>
            <w:tr>
              <w:tblPrEx>
                <w:tblCellMar>
                  <w:top w:w="0" w:type="dxa"/>
                  <w:left w:w="0" w:type="dxa"/>
                  <w:bottom w:w="0" w:type="dxa"/>
                  <w:right w:w="0" w:type="dxa"/>
                </w:tblCellMar>
              </w:tblPrEx>
              <w:trPr>
                <w:tblCellSpacing w:w="0" w:type="dxa"/>
              </w:trPr>
              <w:tc>
                <w:tcPr>
                  <w:tcW w:w="0" w:type="auto"/>
                  <w:vAlign w:val="center"/>
                </w:tcPr>
                <w:p>
                  <w:pPr>
                    <w:spacing w:line="619" w:lineRule="atLeast"/>
                    <w:rPr>
                      <w:rFonts w:ascii="宋体" w:hAnsi="宋体" w:eastAsia="宋体" w:cs="宋体"/>
                      <w:sz w:val="34"/>
                      <w:szCs w:val="34"/>
                    </w:rPr>
                  </w:pPr>
                </w:p>
              </w:tc>
            </w:tr>
          </w:tbl>
          <w:p>
            <w:pPr>
              <w:spacing w:line="464" w:lineRule="atLeast"/>
              <w:rPr>
                <w:rFonts w:ascii="宋体" w:hAnsi="宋体" w:eastAsia="宋体" w:cs="宋体"/>
                <w:color w:val="000000"/>
                <w:sz w:val="26"/>
                <w:szCs w:val="26"/>
              </w:rPr>
            </w:pPr>
          </w:p>
        </w:tc>
      </w:tr>
      <w:tr>
        <w:tblPrEx>
          <w:tblCellMar>
            <w:top w:w="0" w:type="dxa"/>
            <w:left w:w="0" w:type="dxa"/>
            <w:bottom w:w="0" w:type="dxa"/>
            <w:right w:w="0" w:type="dxa"/>
          </w:tblCellMar>
        </w:tblPrEx>
        <w:trPr>
          <w:tblCellSpacing w:w="0" w:type="dxa"/>
        </w:trPr>
        <w:tc>
          <w:tcPr>
            <w:tcW w:w="0" w:type="auto"/>
            <w:shd w:val="clear" w:color="auto" w:fill="FFFFFF"/>
            <w:vAlign w:val="center"/>
          </w:tcPr>
          <w:tbl>
            <w:tblPr>
              <w:tblStyle w:val="14"/>
              <w:tblW w:w="5000" w:type="pct"/>
              <w:tblCellSpacing w:w="0" w:type="dxa"/>
              <w:tblInd w:w="0" w:type="dxa"/>
              <w:shd w:val="clear" w:color="auto" w:fill="FFFFFF"/>
              <w:tblLayout w:type="autofit"/>
              <w:tblCellMar>
                <w:top w:w="0" w:type="dxa"/>
                <w:left w:w="0" w:type="dxa"/>
                <w:bottom w:w="0" w:type="dxa"/>
                <w:right w:w="0" w:type="dxa"/>
              </w:tblCellMar>
            </w:tblPr>
            <w:tblGrid>
              <w:gridCol w:w="8498"/>
            </w:tblGrid>
            <w:tr>
              <w:tblPrEx>
                <w:shd w:val="clear" w:color="auto" w:fill="FFFFFF"/>
                <w:tblCellMar>
                  <w:top w:w="0" w:type="dxa"/>
                  <w:left w:w="0" w:type="dxa"/>
                  <w:bottom w:w="0" w:type="dxa"/>
                  <w:right w:w="0" w:type="dxa"/>
                </w:tblCellMar>
              </w:tblPrEx>
              <w:trPr>
                <w:trHeight w:val="1140" w:hRule="atLeast"/>
                <w:tblCellSpacing w:w="0" w:type="dxa"/>
              </w:trPr>
              <w:tc>
                <w:tcPr>
                  <w:tcW w:w="0" w:type="auto"/>
                  <w:shd w:val="clear" w:color="auto" w:fill="FFFFFF"/>
                </w:tcPr>
                <w:tbl>
                  <w:tblPr>
                    <w:tblStyle w:val="14"/>
                    <w:tblW w:w="4250" w:type="pct"/>
                    <w:jc w:val="center"/>
                    <w:tblCellSpacing w:w="0" w:type="dxa"/>
                    <w:tblLayout w:type="autofit"/>
                    <w:tblCellMar>
                      <w:top w:w="0" w:type="dxa"/>
                      <w:left w:w="0" w:type="dxa"/>
                      <w:bottom w:w="0" w:type="dxa"/>
                      <w:right w:w="0" w:type="dxa"/>
                    </w:tblCellMar>
                  </w:tblPr>
                  <w:tblGrid>
                    <w:gridCol w:w="7223"/>
                  </w:tblGrid>
                  <w:tr>
                    <w:trPr>
                      <w:tblCellSpacing w:w="0" w:type="dxa"/>
                      <w:jc w:val="center"/>
                    </w:trPr>
                    <w:tc>
                      <w:tcPr>
                        <w:tcW w:w="0" w:type="auto"/>
                        <w:vAlign w:val="center"/>
                      </w:tcPr>
                      <w:p>
                        <w:pPr>
                          <w:spacing w:line="400" w:lineRule="exact"/>
                          <w:jc w:val="center"/>
                          <w:rPr>
                            <w:sz w:val="34"/>
                            <w:szCs w:val="34"/>
                          </w:rPr>
                        </w:pPr>
                        <w:r>
                          <w:rPr>
                            <w:rFonts w:hint="eastAsia"/>
                            <w:color w:val="000000"/>
                            <w:spacing w:val="-2"/>
                          </w:rPr>
                          <w:t>财资</w:t>
                        </w:r>
                        <w:r>
                          <w:rPr>
                            <w:rFonts w:hint="eastAsia"/>
                            <w:spacing w:val="-2"/>
                          </w:rPr>
                          <w:t>〔2019〕12号</w:t>
                        </w:r>
                      </w:p>
                      <w:p>
                        <w:pPr>
                          <w:pStyle w:val="6"/>
                          <w:spacing w:line="400" w:lineRule="exact"/>
                          <w:jc w:val="left"/>
                          <w:rPr>
                            <w:spacing w:val="-2"/>
                            <w:sz w:val="26"/>
                            <w:szCs w:val="26"/>
                          </w:rPr>
                        </w:pPr>
                        <w:r>
                          <w:rPr>
                            <w:rFonts w:hint="eastAsia"/>
                            <w:spacing w:val="-2"/>
                            <w:sz w:val="26"/>
                            <w:szCs w:val="26"/>
                          </w:rPr>
                          <w:t>党中央有关部门，国务院各部委、各直属机构，全国人大常委会办公厅，全国政协办公厅，</w:t>
                        </w:r>
                        <w:r>
                          <w:rPr>
                            <w:rFonts w:hint="eastAsia"/>
                            <w:color w:val="000000"/>
                            <w:spacing w:val="-2"/>
                            <w:sz w:val="26"/>
                            <w:szCs w:val="26"/>
                          </w:rPr>
                          <w:t>高法院</w:t>
                        </w:r>
                        <w:r>
                          <w:rPr>
                            <w:rFonts w:hint="eastAsia"/>
                            <w:spacing w:val="-2"/>
                            <w:sz w:val="26"/>
                            <w:szCs w:val="26"/>
                          </w:rPr>
                          <w:t>，高检院，有关人民团体，有关中央管理企业，各省、自治区、直辖市、计划单列市财政厅（局），新疆生产建设兵团财政局：</w:t>
                        </w:r>
                      </w:p>
                      <w:p>
                        <w:pPr>
                          <w:spacing w:before="100" w:beforeAutospacing="1" w:after="100" w:afterAutospacing="1" w:line="400" w:lineRule="exact"/>
                          <w:ind w:firstLine="472"/>
                          <w:rPr>
                            <w:rFonts w:ascii="方正仿宋简体" w:eastAsia="方正仿宋简体"/>
                            <w:spacing w:val="-2"/>
                            <w:sz w:val="26"/>
                            <w:szCs w:val="26"/>
                          </w:rPr>
                        </w:pPr>
                        <w:r>
                          <w:rPr>
                            <w:rFonts w:hint="eastAsia" w:ascii="方正仿宋简体" w:eastAsia="方正仿宋简体"/>
                            <w:spacing w:val="-2"/>
                            <w:sz w:val="26"/>
                            <w:szCs w:val="26"/>
                          </w:rPr>
                          <w:t>为规范事业单位及事业单位所办企业国有资产产权登记管理，现就《财政部关于印发〈事业单位及事业单位所办企业国有资产产权登记管理办法〉的通知》（</w:t>
                        </w:r>
                        <w:r>
                          <w:rPr>
                            <w:rFonts w:hint="eastAsia" w:ascii="方正仿宋简体" w:eastAsia="方正仿宋简体"/>
                            <w:color w:val="000000"/>
                            <w:spacing w:val="-2"/>
                            <w:sz w:val="26"/>
                            <w:szCs w:val="26"/>
                          </w:rPr>
                          <w:t>财教</w:t>
                        </w:r>
                        <w:r>
                          <w:rPr>
                            <w:rFonts w:hint="eastAsia" w:ascii="方正仿宋简体" w:eastAsia="方正仿宋简体"/>
                            <w:spacing w:val="-2"/>
                            <w:sz w:val="26"/>
                            <w:szCs w:val="26"/>
                          </w:rPr>
                          <w:t>〔2012〕242号）有关责任追究事项通知如下：</w:t>
                        </w:r>
                      </w:p>
                      <w:p>
                        <w:pPr>
                          <w:spacing w:before="100" w:beforeAutospacing="1" w:after="100" w:afterAutospacing="1" w:line="400" w:lineRule="exact"/>
                          <w:ind w:firstLine="472"/>
                          <w:rPr>
                            <w:rFonts w:ascii="方正仿宋简体" w:eastAsia="方正仿宋简体"/>
                            <w:spacing w:val="-2"/>
                            <w:sz w:val="26"/>
                            <w:szCs w:val="26"/>
                          </w:rPr>
                        </w:pPr>
                        <w:r>
                          <w:rPr>
                            <w:rFonts w:hint="eastAsia" w:ascii="方正仿宋简体" w:eastAsia="方正仿宋简体"/>
                            <w:spacing w:val="-2"/>
                            <w:sz w:val="26"/>
                            <w:szCs w:val="26"/>
                          </w:rPr>
                          <w:t>将第六十条修改为：各级财政部门、主管部门、事业单位、事业单位所办企业及其工作人员在办理产权登记工作中，存在违反本办法规定的行为，以及其他滥用职权、玩忽职守、徇私舞弊等违法违纪行为的，依照《中华人民共和国公务员法》《中华人民共和国监察法》《财政违法行为处罚处分条例》等国家有关规定追究相应责任；涉嫌犯罪的，依法移送司法机关处理。</w:t>
                        </w:r>
                      </w:p>
                      <w:p>
                        <w:pPr>
                          <w:spacing w:before="100" w:beforeAutospacing="1" w:after="100" w:afterAutospacing="1" w:line="400" w:lineRule="exact"/>
                          <w:ind w:firstLine="472"/>
                          <w:rPr>
                            <w:spacing w:val="-2"/>
                          </w:rPr>
                        </w:pPr>
                        <w:r>
                          <w:rPr>
                            <w:spacing w:val="-2"/>
                          </w:rPr>
                          <w:t> </w:t>
                        </w:r>
                      </w:p>
                      <w:p>
                        <w:pPr>
                          <w:pStyle w:val="12"/>
                          <w:spacing w:line="400" w:lineRule="exact"/>
                          <w:jc w:val="right"/>
                          <w:rPr>
                            <w:spacing w:val="-2"/>
                          </w:rPr>
                        </w:pPr>
                        <w:r>
                          <w:rPr>
                            <w:rFonts w:hint="eastAsia"/>
                            <w:spacing w:val="-2"/>
                          </w:rPr>
                          <w:t>财  政  部  </w:t>
                        </w:r>
                      </w:p>
                      <w:p>
                        <w:pPr>
                          <w:pStyle w:val="12"/>
                          <w:spacing w:line="400" w:lineRule="exact"/>
                          <w:ind w:right="472"/>
                          <w:jc w:val="right"/>
                          <w:rPr>
                            <w:spacing w:val="-2"/>
                          </w:rPr>
                        </w:pPr>
                        <w:r>
                          <w:rPr>
                            <w:rFonts w:hint="eastAsia"/>
                            <w:spacing w:val="-2"/>
                          </w:rPr>
                          <w:t>2019年4月4日</w:t>
                        </w:r>
                      </w:p>
                    </w:tc>
                  </w:tr>
                </w:tbl>
                <w:p>
                  <w:pPr>
                    <w:spacing w:line="464" w:lineRule="atLeast"/>
                    <w:jc w:val="center"/>
                    <w:rPr>
                      <w:rFonts w:ascii="宋体" w:hAnsi="宋体" w:eastAsia="宋体" w:cs="宋体"/>
                      <w:sz w:val="26"/>
                      <w:szCs w:val="26"/>
                    </w:rPr>
                  </w:pPr>
                </w:p>
              </w:tc>
            </w:tr>
          </w:tbl>
          <w:p>
            <w:pPr>
              <w:spacing w:line="464" w:lineRule="atLeast"/>
              <w:rPr>
                <w:rFonts w:ascii="宋体" w:hAnsi="宋体" w:eastAsia="宋体" w:cs="宋体"/>
                <w:color w:val="000000"/>
                <w:sz w:val="26"/>
                <w:szCs w:val="26"/>
              </w:rPr>
            </w:pPr>
          </w:p>
        </w:tc>
      </w:tr>
    </w:tbl>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(八)事业资产监督管理</w:t>
      </w: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580" w:lineRule="exact"/>
        <w:rPr>
          <w:sz w:val="32"/>
        </w:rPr>
      </w:pPr>
    </w:p>
    <w:p>
      <w:pPr>
        <w:spacing w:line="580" w:lineRule="exact"/>
        <w:rPr>
          <w:sz w:val="32"/>
        </w:rPr>
      </w:pPr>
    </w:p>
    <w:p>
      <w:pPr>
        <w:spacing w:line="580" w:lineRule="exact"/>
        <w:rPr>
          <w:sz w:val="32"/>
        </w:rPr>
      </w:pPr>
    </w:p>
    <w:p>
      <w:pPr>
        <w:spacing w:line="1500" w:lineRule="exact"/>
        <w:jc w:val="center"/>
        <w:rPr>
          <w:rFonts w:ascii="方正小标宋简体" w:eastAsia="方正小标宋简体"/>
          <w:color w:val="FF0000"/>
          <w:spacing w:val="20"/>
          <w:w w:val="66"/>
          <w:sz w:val="140"/>
          <w:szCs w:val="140"/>
        </w:rPr>
      </w:pPr>
      <w:r>
        <w:rPr>
          <w:rFonts w:hint="eastAsia" w:ascii="方正小标宋简体" w:eastAsia="方正小标宋简体"/>
          <w:color w:val="FF0000"/>
          <w:spacing w:val="20"/>
          <w:w w:val="66"/>
          <w:sz w:val="140"/>
          <w:szCs w:val="140"/>
        </w:rPr>
        <w:t>山东省财政厅文件</w:t>
      </w:r>
    </w:p>
    <w:p>
      <w:pPr>
        <w:spacing w:line="580" w:lineRule="exact"/>
        <w:jc w:val="center"/>
        <w:rPr>
          <w:sz w:val="32"/>
        </w:rPr>
      </w:pPr>
    </w:p>
    <w:p>
      <w:pPr>
        <w:spacing w:line="580" w:lineRule="exact"/>
        <w:jc w:val="center"/>
        <w:rPr>
          <w:rFonts w:eastAsia="仿宋_GB2312"/>
          <w:sz w:val="32"/>
        </w:rPr>
      </w:pPr>
    </w:p>
    <w:p>
      <w:pPr>
        <w:spacing w:line="580" w:lineRule="exact"/>
        <w:jc w:val="center"/>
        <w:rPr>
          <w:rFonts w:ascii="仿宋_GB2312" w:hAnsi="宋体" w:eastAsia="仿宋_GB2312"/>
          <w:color w:val="000000"/>
          <w:sz w:val="32"/>
        </w:rPr>
      </w:pPr>
      <w:r>
        <w:rPr>
          <w:rFonts w:hint="eastAsia" w:ascii="仿宋_GB2312" w:hAnsi="宋体" w:eastAsia="仿宋_GB2312"/>
          <w:color w:val="000000"/>
          <w:sz w:val="32"/>
        </w:rPr>
        <w:t>鲁财资〔</w:t>
      </w:r>
      <w:r>
        <w:rPr>
          <w:rFonts w:ascii="仿宋_GB2312" w:hAnsi="宋体" w:eastAsia="仿宋_GB2312"/>
          <w:color w:val="000000"/>
          <w:sz w:val="32"/>
        </w:rPr>
        <w:t>2013〕</w:t>
      </w:r>
      <w:r>
        <w:rPr>
          <w:rFonts w:hint="eastAsia" w:ascii="仿宋_GB2312" w:hAnsi="宋体" w:eastAsia="仿宋_GB2312"/>
          <w:color w:val="000000"/>
          <w:sz w:val="32"/>
        </w:rPr>
        <w:t>96</w:t>
      </w:r>
      <w:r>
        <w:rPr>
          <w:rFonts w:ascii="仿宋_GB2312" w:hAnsi="宋体" w:eastAsia="仿宋_GB2312"/>
          <w:color w:val="000000"/>
          <w:sz w:val="32"/>
        </w:rPr>
        <w:t>号</w:t>
      </w:r>
    </w:p>
    <w:p>
      <w:pPr>
        <w:spacing w:line="580" w:lineRule="exact"/>
        <w:jc w:val="center"/>
        <w:rPr>
          <w:rFonts w:ascii="宋体" w:hAnsi="宋体" w:eastAsia="仿宋_GB2312"/>
          <w:sz w:val="32"/>
        </w:rPr>
      </w:pPr>
      <w:r>
        <w:rPr>
          <w:rFonts w:ascii="宋体" w:hAnsi="宋体" w:eastAsia="仿宋_GB2312"/>
          <w:sz w:val="20"/>
        </w:rPr>
        <w:pict>
          <v:line id="_x0000_s1051" o:spid="_x0000_s1051" o:spt="20" style="position:absolute;left:0pt;margin-left:5.25pt;margin-top:7.8pt;height:0pt;width:446.25pt;z-index:251691008;mso-width-relative:page;mso-height-relative:page;" stroked="t" coordsize="21600,21600">
            <v:path arrowok="t"/>
            <v:fill focussize="0,0"/>
            <v:stroke weight="2.25pt" color="#FF0000"/>
            <v:imagedata o:title=""/>
            <o:lock v:ext="edit"/>
          </v:line>
        </w:pict>
      </w:r>
    </w:p>
    <w:p>
      <w:pPr>
        <w:spacing w:line="580" w:lineRule="exact"/>
        <w:jc w:val="center"/>
        <w:rPr>
          <w:rFonts w:ascii="宋体" w:hAnsi="宋体"/>
          <w:sz w:val="32"/>
        </w:rPr>
      </w:pPr>
    </w:p>
    <w:p>
      <w:pPr>
        <w:spacing w:line="580" w:lineRule="exact"/>
        <w:jc w:val="center"/>
        <w:rPr>
          <w:rFonts w:ascii="方正小标宋简体" w:eastAsia="方正小标宋简体"/>
          <w:bCs/>
          <w:color w:val="000000"/>
          <w:sz w:val="44"/>
        </w:rPr>
      </w:pPr>
      <w:r>
        <w:rPr>
          <w:rFonts w:hint="eastAsia" w:ascii="方正小标宋简体" w:eastAsia="方正小标宋简体"/>
          <w:bCs/>
          <w:color w:val="000000"/>
          <w:sz w:val="44"/>
        </w:rPr>
        <w:t>关于进一步做好事业单位所办企业</w:t>
      </w:r>
    </w:p>
    <w:p>
      <w:pPr>
        <w:spacing w:line="580" w:lineRule="exact"/>
        <w:jc w:val="center"/>
        <w:rPr>
          <w:rFonts w:ascii="方正小标宋简体" w:hAnsi="宋体" w:eastAsia="方正小标宋简体"/>
          <w:color w:val="000000"/>
          <w:sz w:val="44"/>
        </w:rPr>
      </w:pPr>
      <w:r>
        <w:rPr>
          <w:rFonts w:hint="eastAsia" w:ascii="方正小标宋简体" w:eastAsia="方正小标宋简体"/>
          <w:bCs/>
          <w:color w:val="000000"/>
          <w:sz w:val="44"/>
        </w:rPr>
        <w:t>国有资产监管工作的通知</w:t>
      </w:r>
    </w:p>
    <w:p>
      <w:pPr>
        <w:spacing w:line="580" w:lineRule="exact"/>
        <w:jc w:val="center"/>
        <w:rPr>
          <w:rFonts w:ascii="宋体" w:hAnsi="宋体"/>
          <w:sz w:val="32"/>
        </w:rPr>
      </w:pPr>
    </w:p>
    <w:p>
      <w:pPr>
        <w:spacing w:line="580" w:lineRule="exact"/>
        <w:rPr>
          <w:rFonts w:ascii="仿宋_GB2312" w:hAnsi="宋体" w:eastAsia="仿宋_GB2312"/>
          <w:sz w:val="32"/>
        </w:rPr>
      </w:pPr>
      <w:r>
        <w:rPr>
          <w:rFonts w:hint="eastAsia" w:ascii="仿宋_GB2312" w:hAnsi="宋体" w:eastAsia="仿宋_GB2312"/>
          <w:color w:val="000000"/>
          <w:sz w:val="32"/>
        </w:rPr>
        <w:t>各市财政局、省财政直接管理县（市）财政局，省直各部门、单位</w:t>
      </w:r>
      <w:r>
        <w:rPr>
          <w:rFonts w:hint="eastAsia" w:ascii="仿宋_GB2312" w:hAnsi="宋体" w:eastAsia="仿宋_GB2312"/>
          <w:sz w:val="32"/>
        </w:rPr>
        <w:t>：</w:t>
      </w:r>
    </w:p>
    <w:p>
      <w:pPr>
        <w:spacing w:line="580" w:lineRule="exact"/>
        <w:ind w:firstLine="640" w:firstLineChars="200"/>
        <w:rPr>
          <w:rFonts w:ascii="仿宋_GB2312" w:hAnsi="仿宋" w:eastAsia="仿宋_GB2312"/>
          <w:sz w:val="32"/>
          <w:szCs w:val="32"/>
        </w:rPr>
      </w:pPr>
      <w:r>
        <w:rPr>
          <w:rFonts w:hint="eastAsia" w:ascii="仿宋_GB2312" w:hAnsi="宋体" w:eastAsia="仿宋_GB2312"/>
          <w:color w:val="000000"/>
          <w:sz w:val="32"/>
        </w:rPr>
        <w:t>为认真贯彻落实《事业单位国有资产管理暂行办法》（财政部令第36号）和财政部《事业单位及事业单位所办企业国有资产产权登记管理办法》（财教〔2012〕242号），切实加强事业单位对外投资的监督管理，确保事业单位所办企业国有资产安全完整和保值增值，现就有关事项通知如下：</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一、进一步提高对事业单位所办企业国有资产监督管理重要性的认识</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是事业单位投资设立的经济实体（包括事业单位所办的国有独资企业、国有独资公司、国有控股公司及其子企业），随着经济发展和行政事业国有资产规模的快速增长，我省各级事业单位利用国有资产投资兴办的企业越来越多，所办企业国有资产规模日益扩大，对于促进事业单位科研成果转化、拓展事业单位业务范围、弥补事业单位经费不足、促进事业单位业务发展等发挥了重要作用，在安置分流职工、促进社会稳定等方面承担了较大的社会责任。同时，由于制度缺失、监管缺位，导致事业单位所办企业存在缺乏考核激励机制、法人治理结构不完善、盈利水平较低、收益分配不规范等问题，给国有资产造成了一定损失。</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国有资产是事业单位对所办企业各种形式的投资所形成的权益，是事业单位国有资产的重要组成部分。各级各部门要从贯彻落实党的十八大提出的“完善各类国有资产管理体制”这一重大决策的战略高度，深刻认识加强事业单位所办企业国有资产监管的重大意义，结合财政部统一部署的事业单位所办企业产权登记工作，全面摸清事业单位对外投资底数，深入查找管理中的问题，合理确定监管职责分工，制定完善管理制度和措施，确保事业单位对外投资看得见、控得住、收得回、能增值。</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二、健全事业单位所办企业国有资产监管机制</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各级财政部门要依据有关法律、法规和规章制度，以管资本为纽带，按照加强监管而不干预企业依法自主经营的原则，尽快建立“产权清晰、权责明确、事企分开、管理科学、保值增值”的事业单位所办企业国有资产管理制度，以产权管理、国有资产权益事项管理和国有资产收益管理为重点，规范事业单位所办企业国有资产监管行为，落实监管职责。</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各事业单位主管部门（以下简称主管部门）要按照有关制度规定和同级财政部门的要求，加强对本部门所属事业单位所办企业国有资产的监督管理。</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事业单位要以产权为纽带，依法享有和行使股东权利，对本单位所办企业国有资产实施具体管理，切实加强对所投资企业的监督管理，及时收取国有资产收益。</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事业单位所办企业应当依法建立和完善法人治理结构，健全内部监督管理和风险控制制度，加强经营管理，确保国有资产安全完整和保值增值。</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三、严格事业单位所办企业国有资产权益事项管理</w:t>
      </w:r>
    </w:p>
    <w:p>
      <w:pPr>
        <w:spacing w:line="580" w:lineRule="exact"/>
        <w:ind w:firstLine="480" w:firstLineChars="150"/>
        <w:rPr>
          <w:rFonts w:ascii="仿宋_GB2312" w:hAnsi="仿宋" w:eastAsia="仿宋_GB2312"/>
          <w:sz w:val="32"/>
          <w:szCs w:val="32"/>
        </w:rPr>
      </w:pPr>
      <w:r>
        <w:rPr>
          <w:rFonts w:hint="eastAsia" w:ascii="楷体_GB2312" w:hAnsi="楷体" w:eastAsia="楷体_GB2312"/>
          <w:sz w:val="32"/>
          <w:szCs w:val="32"/>
        </w:rPr>
        <w:t>（一）加强产权管理。</w:t>
      </w:r>
      <w:r>
        <w:rPr>
          <w:rFonts w:hint="eastAsia" w:ascii="仿宋_GB2312" w:hAnsi="仿宋" w:eastAsia="仿宋_GB2312"/>
          <w:sz w:val="32"/>
          <w:szCs w:val="32"/>
        </w:rPr>
        <w:t>各级主管部门和事业单位要按照财政部《事业单位及事业单位所办企业国有资产产权登记管理办法》（财教〔2012〕242号）规定，及时组织所办企业向同级财政部门申报、办理《中华人民共和国企业国有资产产权登记证》及年度检查，依法确认产权归属，明晰产权关系。</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为有效防范投资风险，防止国有资产被逐渐稀释甚至转移，事业单位所办企业应当在其投资设立的子企业中居控股地位并尽量缩短投资链条，子企业原则上不再投资设立下级企业。</w:t>
      </w:r>
    </w:p>
    <w:p>
      <w:pPr>
        <w:spacing w:line="580" w:lineRule="exact"/>
        <w:ind w:firstLine="640" w:firstLineChars="200"/>
        <w:rPr>
          <w:rFonts w:ascii="仿宋_GB2312" w:hAnsi="仿宋" w:eastAsia="仿宋_GB2312"/>
          <w:sz w:val="32"/>
          <w:szCs w:val="32"/>
        </w:rPr>
      </w:pPr>
      <w:r>
        <w:rPr>
          <w:rFonts w:hint="eastAsia" w:ascii="楷体_GB2312" w:hAnsi="楷体" w:eastAsia="楷体_GB2312"/>
          <w:sz w:val="32"/>
          <w:szCs w:val="32"/>
        </w:rPr>
        <w:t>（二）严格审批管理。</w:t>
      </w:r>
      <w:r>
        <w:rPr>
          <w:rFonts w:hint="eastAsia" w:ascii="仿宋_GB2312" w:hAnsi="仿宋" w:eastAsia="仿宋_GB2312"/>
          <w:sz w:val="32"/>
          <w:szCs w:val="32"/>
        </w:rPr>
        <w:t>各级财政部门要完善涉及事业单位所办企业国有资产权益事项的审批制度。事业单位所办企业发生合并、分立、改制、上市、解散、申请破产，以及增减注册资本、投资设立子企业、转让或划转国有股权、股权变动（包括国有股权数量、比例发生变更）等重大事项，应由事业单位向主管部门提出书面申请，经主管部门审核后，报同级财政部门审批；发生发行债券、提供担保、资产处置、进行捐赠、分配利润等事项，应当报经主管部门批准（没有主管部门的，由事业单位批准），主管部门或事业单位的审批结果应当抄送同级财政部门。事业单位所办企业申报上述权益事项，应当提交有关决议文件、可行性分析报告、具体实施方案、财务审计报告（或清算报告）和资产评估报告等相关材料，其中发生合并、分立、改制、解散、申请破产等事项的，应当听取企业工会的意见，并通过企业职工代表大会或者其他形式听取职工的意见和建议。</w:t>
      </w:r>
    </w:p>
    <w:p>
      <w:pPr>
        <w:spacing w:line="580" w:lineRule="exact"/>
        <w:ind w:firstLine="640" w:firstLineChars="200"/>
        <w:rPr>
          <w:rFonts w:ascii="仿宋_GB2312" w:hAnsi="仿宋" w:eastAsia="仿宋_GB2312"/>
          <w:sz w:val="32"/>
          <w:szCs w:val="32"/>
        </w:rPr>
      </w:pPr>
      <w:r>
        <w:rPr>
          <w:rFonts w:hint="eastAsia" w:ascii="楷体_GB2312" w:hAnsi="楷体" w:eastAsia="楷体_GB2312"/>
          <w:sz w:val="32"/>
          <w:szCs w:val="32"/>
        </w:rPr>
        <w:t>（三）加强资产评估管理。</w:t>
      </w:r>
      <w:r>
        <w:rPr>
          <w:rFonts w:hint="eastAsia" w:ascii="仿宋_GB2312" w:hAnsi="仿宋" w:eastAsia="仿宋_GB2312"/>
          <w:sz w:val="32"/>
          <w:szCs w:val="32"/>
        </w:rPr>
        <w:t>各级财政部门要按照国有资产评估管理的有关规定，加强对事业单位所办企业国有资产评估事项的管理。事业单位所办企业发生国有股权变动或转让国有股权等事项，应当进行资产评估；发生合并、分立、改制、上市等事项，应当在清产核资、财务审计的基础上进行资产评估，准确界定和核实资产，客观、公正地确定相关资产价值，其审计、评估结果应当在企业内部按规定期限予以公示。上述资产评估事项，由同级财政部门委托具有相应资质的资产评估机构进行。</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提供担保、资产处置、以非货币财产对外投资、收购非国有资产，以及法律、行政法规和企业章程规定应当进行资产评估的其他情形，由事业单位委托具有相应资质的资产评估机构进行。评估结果应当在企业内部按规定期限进行公示。经公示无异议的评估报告，报同级财政部门核准或备案。</w:t>
      </w:r>
    </w:p>
    <w:p>
      <w:pPr>
        <w:spacing w:line="580" w:lineRule="exact"/>
        <w:ind w:firstLine="640" w:firstLineChars="200"/>
        <w:rPr>
          <w:rFonts w:ascii="仿宋_GB2312" w:hAnsi="仿宋" w:eastAsia="仿宋_GB2312"/>
          <w:sz w:val="32"/>
          <w:szCs w:val="32"/>
        </w:rPr>
      </w:pPr>
      <w:r>
        <w:rPr>
          <w:rFonts w:hint="eastAsia" w:ascii="楷体_GB2312" w:hAnsi="楷体" w:eastAsia="楷体_GB2312"/>
          <w:sz w:val="32"/>
          <w:szCs w:val="32"/>
        </w:rPr>
        <w:t>（四）规范资产处置管理。</w:t>
      </w:r>
      <w:r>
        <w:rPr>
          <w:rFonts w:hint="eastAsia" w:ascii="仿宋_GB2312" w:hAnsi="仿宋" w:eastAsia="仿宋_GB2312"/>
          <w:sz w:val="32"/>
          <w:szCs w:val="32"/>
        </w:rPr>
        <w:t>事业单位所办企业资产处置遵循等价有偿和公开、公平、公正的原则。除国家规定或者按规定程序经批准允许协议转让外，事业单位所办企业转让国有股权、处置资产应当按规定程序组织公开转让，有进场转让交易条件的，应当在依法设立的产权交易机构公开进行。转让交易价格应当以评估结果为依据，首次信息公告时的转让价不得低于资产评估结果。交易过程中，意向交易价格低于评估结果或批准基价10%时，应当暂停交易，按规定权限报财政部门、主管部门或事业单位重新批准后，方可交易。</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按照有关规定可以向本企业的管理人员或者其近亲属，或者这些人员所有（或者实际控制）的企业转让国有股权或资产的，上述受让者应当与其他受让参与者平等竞买，且不得参与转让方案的制定和组织实施工作。转让方应当按照国家有关规定，如实披露有关信息。事业单位所办企业向境外投资者转让国有股权或者接受其投资，应当遵守国家有关规定，并获得前置审批文件。</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国有资产报经同级财政部门批准后，可以无偿划转给其他国有单位。无偿划转国有资产应符合国家有关法律法规和国家产业政策，且当事方协商一致。被划转国有资产价值按审计后的账面价值确认。</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四、规范事业单位所办企业国有资产收益管理</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事业单位所办企业应当依据《公司法》和公司章程，按照同股同权的原则分配利润。事业单位所办的独资企业、独资公司的利润分配方案报主管部门批准（无主管部门的报投资事业单位批准）；当年不分配利润的，应当说明暂不分配的理由和依据。按利润分配方案分配给事业单位的利润和股利、红利，事业单位所持有的国有股权转让收入，以及按事业单位出资比例计算的企业清算收入等属于国有资产收益，由事业单位按照现行相关规定予以管理。</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五、加强对事业单位所办企业国有资产监督检查</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各级财政部门、主管部门应当根据各自职责切实加强对事业单位所办企业国有资产管理的监督检查，依法处理造成国有资产损失的各种违法违纪行为，确保事业单位所办企业健康发展。  </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主管部门应当结合产权登记年检工作，于年度终了后4个月内，向同级财政部门报送经社会中介机构审计的本部门所属事业单位所办企业的年度财务报告（附送审计报告）。</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本通知印发前已经设立的事业单位参股企业的国有资产管理事项，依照本通知的相关规定执行。</w:t>
      </w:r>
    </w:p>
    <w:p>
      <w:pPr>
        <w:spacing w:line="580" w:lineRule="exact"/>
        <w:ind w:firstLine="640" w:firstLineChars="200"/>
        <w:rPr>
          <w:rFonts w:ascii="仿宋_GB2312" w:eastAsia="仿宋_GB2312"/>
          <w:sz w:val="32"/>
        </w:rPr>
      </w:pPr>
      <w:r>
        <w:rPr>
          <w:rFonts w:hint="eastAsia" w:ascii="仿宋_GB2312" w:hAnsi="仿宋" w:eastAsia="仿宋_GB2312"/>
          <w:sz w:val="32"/>
          <w:szCs w:val="32"/>
        </w:rPr>
        <w:t>本通知规定自2014年2月1日起执行。各市财政局、省财政直接管理县（市）财政局、省直主管部门可以依照本通知规定，结合本地区、本部门实际，制定具体的管理意见，形成的制度、办法应抄送省财政厅。</w:t>
      </w:r>
    </w:p>
    <w:p>
      <w:pPr>
        <w:spacing w:line="580" w:lineRule="exact"/>
        <w:jc w:val="center"/>
        <w:rPr>
          <w:rFonts w:ascii="仿宋_GB2312" w:eastAsia="仿宋_GB2312"/>
          <w:sz w:val="32"/>
        </w:rPr>
      </w:pPr>
    </w:p>
    <w:p>
      <w:pPr>
        <w:spacing w:line="580" w:lineRule="exact"/>
        <w:jc w:val="center"/>
        <w:rPr>
          <w:rFonts w:ascii="仿宋_GB2312" w:eastAsia="仿宋_GB2312"/>
          <w:sz w:val="32"/>
        </w:rPr>
      </w:pPr>
    </w:p>
    <w:p>
      <w:pPr>
        <w:spacing w:line="580" w:lineRule="exact"/>
        <w:jc w:val="center"/>
        <w:rPr>
          <w:rFonts w:ascii="仿宋_GB2312" w:eastAsia="仿宋_GB2312"/>
          <w:sz w:val="32"/>
        </w:rPr>
      </w:pPr>
    </w:p>
    <w:p>
      <w:pPr>
        <w:spacing w:line="580" w:lineRule="exact"/>
        <w:jc w:val="center"/>
        <w:rPr>
          <w:rFonts w:ascii="仿宋_GB2312" w:eastAsia="仿宋_GB2312"/>
          <w:sz w:val="32"/>
        </w:rPr>
      </w:pPr>
    </w:p>
    <w:p>
      <w:pPr>
        <w:spacing w:line="580" w:lineRule="exact"/>
        <w:jc w:val="center"/>
        <w:rPr>
          <w:rFonts w:ascii="仿宋_GB2312" w:eastAsia="仿宋_GB2312"/>
          <w:sz w:val="32"/>
        </w:rPr>
      </w:pPr>
    </w:p>
    <w:p>
      <w:pPr>
        <w:spacing w:line="580" w:lineRule="exact"/>
        <w:jc w:val="center"/>
        <w:rPr>
          <w:rFonts w:ascii="仿宋_GB2312" w:eastAsia="仿宋_GB2312"/>
          <w:sz w:val="32"/>
        </w:rPr>
      </w:pPr>
    </w:p>
    <w:p>
      <w:pPr>
        <w:spacing w:line="580" w:lineRule="exact"/>
        <w:ind w:firstLine="5440" w:firstLineChars="1700"/>
        <w:rPr>
          <w:rFonts w:ascii="仿宋_GB2312" w:eastAsia="仿宋_GB2312"/>
          <w:sz w:val="32"/>
        </w:rPr>
      </w:pPr>
      <w:r>
        <w:rPr>
          <w:rFonts w:hint="eastAsia" w:ascii="仿宋_GB2312" w:eastAsia="仿宋_GB2312"/>
          <w:sz w:val="32"/>
        </w:rPr>
        <w:t>山东省财政厅</w:t>
      </w:r>
    </w:p>
    <w:p>
      <w:pPr>
        <w:spacing w:line="580" w:lineRule="exact"/>
        <w:ind w:firstLine="5120" w:firstLineChars="1600"/>
        <w:rPr>
          <w:rFonts w:ascii="仿宋_GB2312" w:eastAsia="仿宋_GB2312"/>
          <w:sz w:val="32"/>
        </w:rPr>
      </w:pPr>
      <w:r>
        <w:rPr>
          <w:rFonts w:hint="eastAsia" w:ascii="仿宋_GB2312" w:eastAsia="仿宋_GB2312"/>
          <w:sz w:val="32"/>
        </w:rPr>
        <w:t>2013年12月24日</w:t>
      </w: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黑体" w:eastAsia="黑体"/>
          <w:sz w:val="28"/>
          <w:szCs w:val="28"/>
        </w:rPr>
      </w:pPr>
    </w:p>
    <w:p>
      <w:pPr>
        <w:spacing w:line="580" w:lineRule="exact"/>
        <w:rPr>
          <w:rFonts w:ascii="仿宋_GB2312" w:eastAsia="仿宋_GB2312"/>
          <w:sz w:val="28"/>
          <w:szCs w:val="28"/>
        </w:rPr>
      </w:pPr>
      <w:r>
        <w:rPr>
          <w:rFonts w:hint="eastAsia" w:ascii="黑体" w:eastAsia="黑体"/>
          <w:sz w:val="28"/>
          <w:szCs w:val="28"/>
        </w:rPr>
        <w:t>信息公开选项</w:t>
      </w:r>
      <w:r>
        <w:rPr>
          <w:rFonts w:hint="eastAsia" w:ascii="仿宋_GB2312" w:eastAsia="仿宋_GB2312"/>
          <w:sz w:val="28"/>
          <w:szCs w:val="28"/>
        </w:rPr>
        <w:t>：</w:t>
      </w:r>
      <w:r>
        <w:rPr>
          <w:rFonts w:hint="eastAsia" w:ascii="方正小标宋简体" w:eastAsia="方正小标宋简体"/>
          <w:color w:val="000000"/>
          <w:sz w:val="28"/>
          <w:szCs w:val="28"/>
        </w:rPr>
        <w:t>主动公开</w:t>
      </w:r>
    </w:p>
    <w:p>
      <w:pPr>
        <w:spacing w:line="580" w:lineRule="exact"/>
        <w:ind w:firstLine="313" w:firstLineChars="98"/>
        <w:rPr>
          <w:rFonts w:ascii="仿宋_GB2312" w:eastAsia="仿宋_GB2312"/>
          <w:color w:val="000000"/>
          <w:sz w:val="28"/>
          <w:szCs w:val="28"/>
        </w:rPr>
      </w:pPr>
      <w:r>
        <w:rPr>
          <w:rFonts w:ascii="仿宋_GB2312" w:eastAsia="仿宋_GB2312"/>
          <w:color w:val="000000"/>
          <w:sz w:val="32"/>
        </w:rPr>
        <w:pict>
          <v:line id="_x0000_s1052" o:spid="_x0000_s1052" o:spt="20" style="position:absolute;left:0pt;margin-left:0pt;margin-top:1.4pt;height:0pt;width:451.5pt;z-index:251692032;mso-width-relative:page;mso-height-relative:page;" coordsize="21600,21600">
            <v:path arrowok="t"/>
            <v:fill focussize="0,0"/>
            <v:stroke weight="1pt"/>
            <v:imagedata o:title=""/>
            <o:lock v:ext="edit"/>
          </v:line>
        </w:pict>
      </w:r>
      <w:r>
        <w:rPr>
          <w:rFonts w:hint="eastAsia" w:ascii="仿宋_GB2312" w:eastAsia="仿宋_GB2312"/>
          <w:color w:val="000000"/>
          <w:sz w:val="28"/>
          <w:szCs w:val="28"/>
        </w:rPr>
        <w:t>抄送：省公安厅、省国土资源厅、省住房城乡建设厅、省工商局。</w:t>
      </w:r>
    </w:p>
    <w:p>
      <w:pPr>
        <w:spacing w:line="580" w:lineRule="exact"/>
        <w:ind w:firstLine="313" w:firstLineChars="98"/>
        <w:rPr>
          <w:sz w:val="28"/>
          <w:szCs w:val="28"/>
        </w:rPr>
      </w:pPr>
      <w:r>
        <w:rPr>
          <w:rFonts w:ascii="仿宋_GB2312" w:eastAsia="仿宋_GB2312"/>
          <w:sz w:val="32"/>
        </w:rPr>
        <w:pict>
          <v:line id="_x0000_s1054" o:spid="_x0000_s1054" o:spt="20" style="position:absolute;left:0pt;margin-left:0pt;margin-top:1.8pt;height:0pt;width:451.5pt;z-index:251694080;mso-width-relative:page;mso-height-relative:page;" coordsize="21600,21600">
            <v:path arrowok="t"/>
            <v:fill focussize="0,0"/>
            <v:stroke weight="0.5pt"/>
            <v:imagedata o:title=""/>
            <o:lock v:ext="edit"/>
          </v:line>
        </w:pict>
      </w:r>
      <w:r>
        <w:rPr>
          <w:rFonts w:ascii="仿宋_GB2312" w:eastAsia="仿宋_GB2312"/>
          <w:sz w:val="32"/>
        </w:rPr>
        <w:pict>
          <v:line id="_x0000_s1053" o:spid="_x0000_s1053" o:spt="20" style="position:absolute;left:0pt;margin-left:0pt;margin-top:31pt;height:0pt;width:451.5pt;z-index:251693056;mso-width-relative:page;mso-height-relative:page;" coordsize="21600,21600">
            <v:path arrowok="t"/>
            <v:fill focussize="0,0"/>
            <v:stroke weight="1pt"/>
            <v:imagedata o:title=""/>
            <o:lock v:ext="edit"/>
          </v:line>
        </w:pict>
      </w:r>
      <w:r>
        <w:rPr>
          <w:rFonts w:hint="eastAsia" w:ascii="仿宋_GB2312" w:eastAsia="仿宋_GB2312"/>
          <w:sz w:val="28"/>
          <w:szCs w:val="28"/>
        </w:rPr>
        <w:t xml:space="preserve">山东省财政厅办公室                    2013年12月25日印发 </w:t>
      </w: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rPr>
          <w:rFonts w:ascii="宋体" w:hAnsi="宋体" w:eastAsia="宋体"/>
          <w:b/>
          <w:bCs/>
          <w:sz w:val="36"/>
          <w:szCs w:val="36"/>
        </w:rPr>
      </w:pPr>
      <w:r>
        <w:rPr>
          <w:rFonts w:ascii="宋体" w:hAnsi="宋体" w:eastAsia="宋体"/>
          <w:sz w:val="28"/>
          <w:szCs w:val="28"/>
        </w:rPr>
        <w:br w:type="textWrapping"/>
      </w:r>
      <w:r>
        <w:rPr>
          <w:rFonts w:hint="eastAsia" w:ascii="宋体" w:hAnsi="宋体" w:eastAsia="宋体"/>
          <w:sz w:val="28"/>
          <w:szCs w:val="28"/>
        </w:rPr>
        <w:t xml:space="preserve"> </w:t>
      </w:r>
      <w:r>
        <w:rPr>
          <w:rFonts w:ascii="宋体" w:hAnsi="宋体" w:eastAsia="宋体"/>
          <w:sz w:val="28"/>
          <w:szCs w:val="28"/>
        </w:rPr>
        <w:t xml:space="preserve">     </w:t>
      </w:r>
      <w:r>
        <w:rPr>
          <w:rFonts w:ascii="宋体" w:hAnsi="宋体" w:eastAsia="宋体"/>
          <w:b/>
          <w:bCs/>
          <w:sz w:val="28"/>
          <w:szCs w:val="28"/>
        </w:rPr>
        <w:t xml:space="preserve">  </w:t>
      </w:r>
      <w:r>
        <w:rPr>
          <w:rFonts w:ascii="宋体" w:hAnsi="宋体" w:eastAsia="宋体"/>
          <w:b/>
          <w:bCs/>
          <w:sz w:val="52"/>
          <w:szCs w:val="52"/>
        </w:rPr>
        <w:t>中共山东省委办公厅文件</w:t>
      </w:r>
      <w:r>
        <w:rPr>
          <w:rFonts w:ascii="宋体" w:hAnsi="宋体" w:eastAsia="宋体"/>
          <w:sz w:val="52"/>
          <w:szCs w:val="52"/>
        </w:rPr>
        <w:br w:type="textWrapping"/>
      </w:r>
      <w:r>
        <w:rPr>
          <w:rFonts w:ascii="宋体" w:hAnsi="宋体" w:eastAsia="宋体"/>
          <w:sz w:val="28"/>
          <w:szCs w:val="28"/>
        </w:rPr>
        <w:br w:type="textWrapping"/>
      </w:r>
      <w:r>
        <w:rPr>
          <w:rFonts w:hint="eastAsia" w:ascii="宋体" w:hAnsi="宋体" w:eastAsia="宋体"/>
          <w:sz w:val="28"/>
          <w:szCs w:val="28"/>
        </w:rPr>
        <w:t xml:space="preserve"> </w:t>
      </w:r>
      <w:r>
        <w:rPr>
          <w:rFonts w:ascii="宋体" w:hAnsi="宋体" w:eastAsia="宋体"/>
          <w:sz w:val="28"/>
          <w:szCs w:val="28"/>
        </w:rPr>
        <w:t xml:space="preserve">                  鲁办发(2019)6号</w:t>
      </w:r>
      <w:r>
        <w:rPr>
          <w:rFonts w:ascii="宋体" w:hAnsi="宋体" w:eastAsia="宋体"/>
          <w:sz w:val="28"/>
          <w:szCs w:val="28"/>
        </w:rPr>
        <w:br w:type="textWrapping"/>
      </w:r>
      <w:r>
        <w:rPr>
          <w:rFonts w:ascii="宋体" w:hAnsi="宋体" w:eastAsia="宋体"/>
          <w:sz w:val="28"/>
          <w:szCs w:val="28"/>
        </w:rPr>
        <w:br w:type="textWrapping"/>
      </w:r>
      <w:r>
        <w:rPr>
          <w:rFonts w:ascii="宋体" w:hAnsi="宋体" w:eastAsia="宋体"/>
          <w:b/>
          <w:bCs/>
          <w:sz w:val="36"/>
          <w:szCs w:val="36"/>
        </w:rPr>
        <w:t xml:space="preserve"> 中共山东省委办公厅山东省人民政府办公厅印发《关于深人推进完善省属经营性国有资产统一监管工作的意见》的通知</w:t>
      </w:r>
      <w:r>
        <w:rPr>
          <w:rFonts w:ascii="宋体" w:hAnsi="宋体" w:eastAsia="宋体"/>
          <w:sz w:val="28"/>
          <w:szCs w:val="28"/>
        </w:rPr>
        <w:br w:type="textWrapping"/>
      </w:r>
      <w:r>
        <w:rPr>
          <w:rFonts w:ascii="宋体" w:hAnsi="宋体" w:eastAsia="宋体"/>
          <w:sz w:val="28"/>
          <w:szCs w:val="28"/>
        </w:rPr>
        <w:br w:type="textWrapping"/>
      </w:r>
      <w:r>
        <w:rPr>
          <w:rFonts w:ascii="宋体" w:hAnsi="宋体" w:eastAsia="宋体"/>
          <w:sz w:val="28"/>
          <w:szCs w:val="28"/>
        </w:rPr>
        <w:t>各市党委和人民政府，省委和省政府各部门(单位)，各人民团体，各高等院校:</w:t>
      </w:r>
      <w:r>
        <w:rPr>
          <w:rFonts w:ascii="宋体" w:hAnsi="宋体" w:eastAsia="宋体"/>
          <w:sz w:val="28"/>
          <w:szCs w:val="28"/>
        </w:rPr>
        <w:br w:type="textWrapping"/>
      </w:r>
      <w:r>
        <w:rPr>
          <w:rFonts w:ascii="宋体" w:hAnsi="宋体" w:eastAsia="宋体"/>
          <w:sz w:val="28"/>
          <w:szCs w:val="28"/>
        </w:rPr>
        <w:t xml:space="preserve">   《关于深入推进完善省属经营性国有资产统一监管工作的意见》已经省委、省政府领导同志同意，现印发给你们，请结合实际认真贯彻落实。</w:t>
      </w:r>
      <w:r>
        <w:rPr>
          <w:rFonts w:ascii="宋体" w:hAnsi="宋体" w:eastAsia="宋体"/>
          <w:sz w:val="28"/>
          <w:szCs w:val="28"/>
        </w:rPr>
        <w:br w:type="textWrapping"/>
      </w:r>
      <w:r>
        <w:rPr>
          <w:rFonts w:ascii="宋体" w:hAnsi="宋体" w:eastAsia="宋体"/>
          <w:sz w:val="28"/>
          <w:szCs w:val="28"/>
        </w:rPr>
        <w:br w:type="textWrapping"/>
      </w:r>
      <w:r>
        <w:rPr>
          <w:rFonts w:hint="eastAsia" w:ascii="宋体" w:hAnsi="宋体" w:eastAsia="宋体"/>
          <w:sz w:val="28"/>
          <w:szCs w:val="28"/>
        </w:rPr>
        <w:t xml:space="preserve"> </w:t>
      </w:r>
      <w:r>
        <w:rPr>
          <w:rFonts w:ascii="宋体" w:hAnsi="宋体" w:eastAsia="宋体"/>
          <w:sz w:val="28"/>
          <w:szCs w:val="28"/>
        </w:rPr>
        <w:t xml:space="preserve">                                      中共山东省委办公厅</w:t>
      </w:r>
    </w:p>
    <w:p>
      <w:pPr>
        <w:ind w:left="5810" w:leftChars="2500" w:hanging="560" w:hangingChars="200"/>
        <w:rPr>
          <w:rFonts w:ascii="宋体" w:hAnsi="宋体" w:eastAsia="宋体"/>
          <w:sz w:val="28"/>
          <w:szCs w:val="28"/>
        </w:rPr>
      </w:pPr>
      <w:r>
        <w:rPr>
          <w:rFonts w:ascii="宋体" w:hAnsi="宋体" w:eastAsia="宋体"/>
          <w:sz w:val="28"/>
          <w:szCs w:val="28"/>
        </w:rPr>
        <w:t>山东省人民政府办公厅</w:t>
      </w:r>
      <w:r>
        <w:rPr>
          <w:rFonts w:ascii="宋体" w:hAnsi="宋体" w:eastAsia="宋体"/>
          <w:sz w:val="28"/>
          <w:szCs w:val="28"/>
        </w:rPr>
        <w:br w:type="textWrapping"/>
      </w:r>
      <w:r>
        <w:rPr>
          <w:rFonts w:ascii="宋体" w:hAnsi="宋体" w:eastAsia="宋体"/>
          <w:sz w:val="28"/>
          <w:szCs w:val="28"/>
        </w:rPr>
        <w:t>2019年5月17日</w:t>
      </w:r>
      <w:r>
        <w:rPr>
          <w:rFonts w:ascii="宋体" w:hAnsi="宋体" w:eastAsia="宋体"/>
          <w:sz w:val="28"/>
          <w:szCs w:val="28"/>
        </w:rPr>
        <w:br w:type="textWrapping"/>
      </w:r>
      <w:r>
        <w:rPr>
          <w:rFonts w:ascii="宋体" w:hAnsi="宋体" w:eastAsia="宋体"/>
          <w:sz w:val="28"/>
          <w:szCs w:val="28"/>
        </w:rPr>
        <w:br w:type="textWrapping"/>
      </w:r>
    </w:p>
    <w:p>
      <w:pPr>
        <w:rPr>
          <w:rFonts w:ascii="宋体" w:hAnsi="宋体" w:eastAsia="宋体"/>
          <w:sz w:val="28"/>
          <w:szCs w:val="28"/>
        </w:rPr>
      </w:pPr>
      <w:r>
        <w:rPr>
          <w:rFonts w:ascii="宋体" w:hAnsi="宋体" w:eastAsia="宋体"/>
          <w:sz w:val="28"/>
          <w:szCs w:val="28"/>
        </w:rPr>
        <w:t>(此件发至市)</w:t>
      </w:r>
    </w:p>
    <w:p>
      <w:pPr>
        <w:ind w:left="3277" w:leftChars="700" w:hanging="1807" w:hangingChars="500"/>
        <w:rPr>
          <w:rFonts w:hint="eastAsia" w:ascii="宋体" w:hAnsi="宋体" w:eastAsia="宋体"/>
          <w:b/>
          <w:bCs/>
          <w:sz w:val="36"/>
          <w:szCs w:val="36"/>
        </w:rPr>
      </w:pPr>
    </w:p>
    <w:p>
      <w:pPr>
        <w:ind w:left="3277" w:leftChars="700" w:hanging="1807" w:hangingChars="500"/>
        <w:rPr>
          <w:rFonts w:hint="eastAsia" w:ascii="宋体" w:hAnsi="宋体" w:eastAsia="宋体"/>
          <w:b/>
          <w:bCs/>
          <w:sz w:val="36"/>
          <w:szCs w:val="36"/>
        </w:rPr>
      </w:pPr>
    </w:p>
    <w:p>
      <w:pPr>
        <w:ind w:left="3277" w:leftChars="700" w:hanging="1807" w:hangingChars="500"/>
        <w:rPr>
          <w:rFonts w:hint="eastAsia" w:ascii="宋体" w:hAnsi="宋体" w:eastAsia="宋体"/>
          <w:b/>
          <w:bCs/>
          <w:sz w:val="36"/>
          <w:szCs w:val="36"/>
        </w:rPr>
      </w:pPr>
    </w:p>
    <w:p>
      <w:pPr>
        <w:ind w:left="3277" w:leftChars="700" w:hanging="1807" w:hangingChars="500"/>
        <w:rPr>
          <w:rFonts w:hint="eastAsia" w:ascii="宋体" w:hAnsi="宋体" w:eastAsia="宋体"/>
          <w:b/>
          <w:bCs/>
          <w:sz w:val="36"/>
          <w:szCs w:val="36"/>
        </w:rPr>
      </w:pPr>
    </w:p>
    <w:p>
      <w:pPr>
        <w:ind w:left="3277" w:leftChars="700" w:hanging="1807" w:hangingChars="500"/>
        <w:rPr>
          <w:rFonts w:hint="eastAsia" w:ascii="宋体" w:hAnsi="宋体" w:eastAsia="宋体"/>
          <w:b/>
          <w:bCs/>
          <w:sz w:val="36"/>
          <w:szCs w:val="36"/>
        </w:rPr>
      </w:pPr>
    </w:p>
    <w:p>
      <w:pPr>
        <w:ind w:left="3277" w:leftChars="700" w:hanging="1807" w:hangingChars="500"/>
        <w:rPr>
          <w:rFonts w:hint="eastAsia" w:ascii="宋体" w:hAnsi="宋体" w:eastAsia="宋体"/>
          <w:b/>
          <w:bCs/>
          <w:sz w:val="36"/>
          <w:szCs w:val="36"/>
        </w:rPr>
      </w:pPr>
    </w:p>
    <w:p>
      <w:pPr>
        <w:ind w:left="3277" w:leftChars="700" w:hanging="1807" w:hangingChars="500"/>
        <w:rPr>
          <w:rFonts w:ascii="宋体" w:hAnsi="宋体" w:eastAsia="宋体"/>
          <w:b/>
          <w:bCs/>
          <w:sz w:val="36"/>
          <w:szCs w:val="36"/>
        </w:rPr>
      </w:pPr>
      <w:r>
        <w:rPr>
          <w:rFonts w:ascii="宋体" w:hAnsi="宋体" w:eastAsia="宋体"/>
          <w:b/>
          <w:bCs/>
          <w:sz w:val="36"/>
          <w:szCs w:val="36"/>
        </w:rPr>
        <w:t>关于深人推进完善省属经营性国有资产</w:t>
      </w:r>
    </w:p>
    <w:p>
      <w:pPr>
        <w:ind w:left="2520" w:leftChars="1200"/>
        <w:rPr>
          <w:rFonts w:ascii="宋体" w:hAnsi="宋体" w:eastAsia="宋体"/>
          <w:b/>
          <w:bCs/>
          <w:sz w:val="36"/>
          <w:szCs w:val="36"/>
        </w:rPr>
      </w:pPr>
      <w:r>
        <w:rPr>
          <w:rFonts w:ascii="宋体" w:hAnsi="宋体" w:eastAsia="宋体"/>
          <w:b/>
          <w:bCs/>
          <w:sz w:val="36"/>
          <w:szCs w:val="36"/>
        </w:rPr>
        <w:t>统一监管工作的意见</w:t>
      </w:r>
    </w:p>
    <w:p>
      <w:pPr>
        <w:ind w:firstLine="560" w:firstLineChars="200"/>
        <w:rPr>
          <w:rFonts w:ascii="宋体" w:hAnsi="宋体" w:eastAsia="宋体"/>
          <w:sz w:val="28"/>
          <w:szCs w:val="28"/>
        </w:rPr>
      </w:pPr>
      <w:r>
        <w:rPr>
          <w:rFonts w:ascii="宋体" w:hAnsi="宋体" w:eastAsia="宋体"/>
          <w:sz w:val="28"/>
          <w:szCs w:val="28"/>
        </w:rPr>
        <w:t>为进一步转变政府职能，促进国有企业健康稳定发展，根据中共中央办公厅、国务院办公厅关于推进中央党政机关和事业单位经营性国有资产集中统一监管试点的有关文件精神，现结合我省实际，就深入推进完善省属经营性国有资产统一监管工作，提出如下意见。</w:t>
      </w:r>
      <w:r>
        <w:rPr>
          <w:rFonts w:ascii="宋体" w:hAnsi="宋体" w:eastAsia="宋体"/>
          <w:sz w:val="28"/>
          <w:szCs w:val="28"/>
        </w:rPr>
        <w:br w:type="textWrapping"/>
      </w:r>
      <w:r>
        <w:rPr>
          <w:rFonts w:hint="eastAsia" w:ascii="宋体" w:hAnsi="宋体" w:eastAsia="宋体"/>
          <w:b/>
          <w:bCs/>
          <w:sz w:val="28"/>
          <w:szCs w:val="28"/>
        </w:rPr>
        <w:t xml:space="preserve"> </w:t>
      </w:r>
      <w:r>
        <w:rPr>
          <w:rFonts w:ascii="宋体" w:hAnsi="宋体" w:eastAsia="宋体"/>
          <w:b/>
          <w:bCs/>
          <w:sz w:val="28"/>
          <w:szCs w:val="28"/>
        </w:rPr>
        <w:t xml:space="preserve">   一、指导思想</w:t>
      </w:r>
      <w:r>
        <w:rPr>
          <w:rFonts w:ascii="宋体" w:hAnsi="宋体" w:eastAsia="宋体"/>
          <w:sz w:val="28"/>
          <w:szCs w:val="28"/>
        </w:rPr>
        <w:br w:type="textWrapping"/>
      </w:r>
      <w:r>
        <w:rPr>
          <w:rFonts w:hint="eastAsia" w:ascii="宋体" w:hAnsi="宋体" w:eastAsia="宋体"/>
          <w:sz w:val="28"/>
          <w:szCs w:val="28"/>
        </w:rPr>
        <w:t xml:space="preserve"> </w:t>
      </w:r>
      <w:r>
        <w:rPr>
          <w:rFonts w:ascii="宋体" w:hAnsi="宋体" w:eastAsia="宋体"/>
          <w:sz w:val="28"/>
          <w:szCs w:val="28"/>
        </w:rPr>
        <w:t xml:space="preserve">   以习近平新时代中国特色社会主义思想为指导，全面贯彻党的十九大和十九届二中、三中全会精神，巩固经营性国有资产统一监管成果，优化国有资本结构，提高国有资本配置和监管效率，完善国有资产管理体制，实现国有企业持续健康稳定发展。</w:t>
      </w:r>
      <w:r>
        <w:rPr>
          <w:rFonts w:ascii="宋体" w:hAnsi="宋体" w:eastAsia="宋体"/>
          <w:sz w:val="28"/>
          <w:szCs w:val="28"/>
        </w:rPr>
        <w:br w:type="textWrapping"/>
      </w:r>
      <w:r>
        <w:rPr>
          <w:rFonts w:hint="eastAsia" w:ascii="宋体" w:hAnsi="宋体" w:eastAsia="宋体"/>
          <w:sz w:val="28"/>
          <w:szCs w:val="28"/>
        </w:rPr>
        <w:t xml:space="preserve"> </w:t>
      </w:r>
      <w:r>
        <w:rPr>
          <w:rFonts w:ascii="宋体" w:hAnsi="宋体" w:eastAsia="宋体"/>
          <w:sz w:val="28"/>
          <w:szCs w:val="28"/>
        </w:rPr>
        <w:t xml:space="preserve"> </w:t>
      </w:r>
      <w:r>
        <w:rPr>
          <w:rFonts w:ascii="宋体" w:hAnsi="宋体" w:eastAsia="宋体"/>
          <w:b/>
          <w:bCs/>
          <w:sz w:val="28"/>
          <w:szCs w:val="28"/>
        </w:rPr>
        <w:t xml:space="preserve">   二、基本原则</w:t>
      </w:r>
      <w:r>
        <w:rPr>
          <w:rFonts w:ascii="宋体" w:hAnsi="宋体" w:eastAsia="宋体"/>
          <w:sz w:val="28"/>
          <w:szCs w:val="28"/>
        </w:rPr>
        <w:br w:type="textWrapping"/>
      </w:r>
      <w:r>
        <w:rPr>
          <w:rFonts w:ascii="宋体" w:hAnsi="宋体" w:eastAsia="宋体"/>
          <w:sz w:val="28"/>
          <w:szCs w:val="28"/>
        </w:rPr>
        <w:t xml:space="preserve">    (一)政企分开、事企分开。省直党政机关和事业单位所办企业原则上要与原主办单位彻底脱钩。今后除省政府授权外，省直各部门、单位不再履行企业国有资产出资人职责，不再以各种名义投资设立经营性企业和经济实体。</w:t>
      </w:r>
      <w:r>
        <w:rPr>
          <w:rFonts w:ascii="宋体" w:hAnsi="宋体" w:eastAsia="宋体"/>
          <w:sz w:val="28"/>
          <w:szCs w:val="28"/>
        </w:rPr>
        <w:br w:type="textWrapping"/>
      </w:r>
      <w:r>
        <w:rPr>
          <w:rFonts w:ascii="宋体" w:hAnsi="宋体" w:eastAsia="宋体"/>
          <w:sz w:val="28"/>
          <w:szCs w:val="28"/>
        </w:rPr>
        <w:t xml:space="preserve">    (二)分类施策、优化整合。对省属经营性国有资产分</w:t>
      </w:r>
      <w:r>
        <w:rPr>
          <w:rFonts w:hint="eastAsia" w:ascii="宋体" w:hAnsi="宋体" w:eastAsia="宋体"/>
          <w:sz w:val="28"/>
          <w:szCs w:val="28"/>
        </w:rPr>
        <w:t>类实行脱钩划转、消清理关闭和市市场化久处置等，推动重组整合和改革改制。</w:t>
      </w:r>
    </w:p>
    <w:p>
      <w:pPr>
        <w:ind w:firstLine="560" w:firstLineChars="200"/>
        <w:rPr>
          <w:rFonts w:ascii="宋体" w:hAnsi="宋体" w:eastAsia="宋体"/>
          <w:sz w:val="28"/>
          <w:szCs w:val="28"/>
        </w:rPr>
      </w:pPr>
      <w:r>
        <w:rPr>
          <w:rFonts w:hint="eastAsia" w:ascii="宋体" w:hAnsi="宋体" w:eastAsia="宋体"/>
          <w:sz w:val="28"/>
          <w:szCs w:val="28"/>
        </w:rPr>
        <w:t>（三）积极稳妥、有序实施。省直各部门、单位要严执落实工作责任，按期完成工作任务，妥善处理好资产、人员、经费等问题，严防国有资产流失和恶意逃废金融债务，依法维护各相关方合法权益。</w:t>
      </w:r>
    </w:p>
    <w:p>
      <w:pPr>
        <w:ind w:firstLine="560" w:firstLineChars="200"/>
        <w:rPr>
          <w:rFonts w:ascii="宋体" w:hAnsi="宋体" w:eastAsia="宋体"/>
          <w:sz w:val="28"/>
          <w:szCs w:val="28"/>
        </w:rPr>
      </w:pPr>
    </w:p>
    <w:p>
      <w:pPr>
        <w:ind w:firstLine="562" w:firstLineChars="200"/>
        <w:rPr>
          <w:rFonts w:ascii="宋体" w:hAnsi="宋体" w:eastAsia="宋体"/>
          <w:b/>
          <w:bCs/>
          <w:sz w:val="28"/>
          <w:szCs w:val="28"/>
        </w:rPr>
      </w:pPr>
      <w:r>
        <w:rPr>
          <w:rFonts w:hint="eastAsia" w:ascii="宋体" w:hAnsi="宋体" w:eastAsia="宋体"/>
          <w:b/>
          <w:bCs/>
          <w:sz w:val="28"/>
          <w:szCs w:val="28"/>
        </w:rPr>
        <w:t>三、统一监管</w:t>
      </w:r>
    </w:p>
    <w:p>
      <w:pPr>
        <w:ind w:firstLine="560" w:firstLineChars="200"/>
        <w:rPr>
          <w:rFonts w:ascii="宋体" w:hAnsi="宋体" w:eastAsia="宋体"/>
          <w:sz w:val="28"/>
          <w:szCs w:val="28"/>
        </w:rPr>
      </w:pPr>
      <w:r>
        <w:rPr>
          <w:rFonts w:hint="eastAsia" w:ascii="宋体" w:hAnsi="宋体" w:eastAsia="宋体"/>
          <w:sz w:val="28"/>
          <w:szCs w:val="28"/>
        </w:rPr>
        <w:t>根据省属经营性国有资产的实际情况，分类推进脱钩划转、清理关闭和市场化处置，统一纳</w:t>
      </w:r>
      <w:r>
        <w:rPr>
          <w:rFonts w:ascii="宋体" w:hAnsi="宋体" w:eastAsia="宋体"/>
          <w:sz w:val="28"/>
          <w:szCs w:val="28"/>
        </w:rPr>
        <w:t>)入国有资产集中监管体系。</w:t>
      </w:r>
    </w:p>
    <w:p>
      <w:pPr>
        <w:ind w:firstLine="560" w:firstLineChars="200"/>
        <w:rPr>
          <w:rFonts w:ascii="宋体" w:hAnsi="宋体" w:eastAsia="宋体"/>
          <w:sz w:val="28"/>
          <w:szCs w:val="28"/>
        </w:rPr>
      </w:pPr>
      <w:r>
        <w:rPr>
          <w:rFonts w:hint="eastAsia" w:ascii="宋体" w:hAnsi="宋体" w:eastAsia="宋体"/>
          <w:sz w:val="28"/>
          <w:szCs w:val="28"/>
        </w:rPr>
        <w:t>（一）</w:t>
      </w:r>
      <w:r>
        <w:rPr>
          <w:rFonts w:ascii="宋体" w:hAnsi="宋体" w:eastAsia="宋体"/>
          <w:sz w:val="28"/>
          <w:szCs w:val="28"/>
        </w:rPr>
        <w:t>对已纳入《山东省人民政府办公厅关于印发省属经营性国有资产统一监管实施计划的通知》(鲁政办发[2016]39号)监管范围的企业，要按照该通知要求继续推进统一监管相关工作。</w:t>
      </w:r>
    </w:p>
    <w:p>
      <w:pPr>
        <w:ind w:firstLine="280" w:firstLineChars="100"/>
        <w:rPr>
          <w:rFonts w:ascii="宋体" w:hAnsi="宋体" w:eastAsia="宋体"/>
          <w:sz w:val="28"/>
          <w:szCs w:val="28"/>
        </w:rPr>
      </w:pPr>
      <w:r>
        <w:rPr>
          <w:rFonts w:hint="eastAsia" w:ascii="宋体" w:hAnsi="宋体" w:eastAsia="宋体"/>
          <w:sz w:val="28"/>
          <w:szCs w:val="28"/>
        </w:rPr>
        <w:t>（二）</w:t>
      </w:r>
      <w:r>
        <w:rPr>
          <w:rFonts w:ascii="宋体" w:hAnsi="宋体" w:eastAsia="宋体"/>
          <w:sz w:val="28"/>
          <w:szCs w:val="28"/>
        </w:rPr>
        <w:t>对新清理出来尚未纳入统一监管范围的企业，按照以下原则和要求推进统一监管。</w:t>
      </w:r>
    </w:p>
    <w:p>
      <w:pPr>
        <w:ind w:firstLine="560" w:firstLineChars="200"/>
        <w:rPr>
          <w:rFonts w:ascii="宋体" w:hAnsi="宋体" w:eastAsia="宋体"/>
          <w:sz w:val="28"/>
          <w:szCs w:val="28"/>
        </w:rPr>
      </w:pPr>
      <w:r>
        <w:rPr>
          <w:rFonts w:ascii="宋体" w:hAnsi="宋体" w:eastAsia="宋体"/>
          <w:sz w:val="28"/>
          <w:szCs w:val="28"/>
        </w:rPr>
        <w:t>1.分类处置资产权属关系</w:t>
      </w:r>
    </w:p>
    <w:p>
      <w:pPr>
        <w:ind w:firstLine="560" w:firstLineChars="200"/>
        <w:rPr>
          <w:rFonts w:ascii="宋体" w:hAnsi="宋体" w:eastAsia="宋体"/>
          <w:sz w:val="28"/>
          <w:szCs w:val="28"/>
        </w:rPr>
      </w:pPr>
      <w:r>
        <w:rPr>
          <w:rFonts w:hint="eastAsia" w:ascii="宋体" w:hAnsi="宋体" w:eastAsia="宋体"/>
          <w:sz w:val="28"/>
          <w:szCs w:val="28"/>
        </w:rPr>
        <w:t>对于与本部门、单位屡行的公共管理和事业发展职能无关的一般竞争性企业，实行街底脱钩，按照限“产业相近、业务相关、优势互补”的原则，</w:t>
      </w:r>
      <w:r>
        <w:rPr>
          <w:rFonts w:ascii="宋体" w:hAnsi="宋体" w:eastAsia="宋体"/>
          <w:sz w:val="28"/>
          <w:szCs w:val="28"/>
        </w:rPr>
        <w:t>产权划入省属企业持有。</w:t>
      </w:r>
    </w:p>
    <w:p>
      <w:pPr>
        <w:ind w:firstLine="560" w:firstLineChars="200"/>
        <w:rPr>
          <w:rFonts w:ascii="宋体" w:hAnsi="宋体" w:eastAsia="宋体"/>
          <w:sz w:val="28"/>
          <w:szCs w:val="28"/>
        </w:rPr>
      </w:pPr>
      <w:r>
        <w:rPr>
          <w:rFonts w:hint="eastAsia" w:ascii="宋体" w:hAnsi="宋体" w:eastAsia="宋体"/>
          <w:sz w:val="28"/>
          <w:szCs w:val="28"/>
        </w:rPr>
        <w:t>对于与本部门、单位承担的公共事业发展职能密切相关，属于自身职能拓展和延伸的企业，可实行部分资本划转。划转资本由省属企业持有，履行出资人职责，并实行集中监管。同时，原主办单位通过持有部分股权方式保持一定影响力，实现公共事业和企业业务互相促进、共同发展。</w:t>
      </w:r>
    </w:p>
    <w:p>
      <w:pPr>
        <w:ind w:firstLine="560" w:firstLineChars="200"/>
        <w:rPr>
          <w:rFonts w:ascii="宋体" w:hAnsi="宋体" w:eastAsia="宋体"/>
          <w:sz w:val="28"/>
          <w:szCs w:val="28"/>
        </w:rPr>
      </w:pPr>
      <w:r>
        <w:rPr>
          <w:rFonts w:hint="eastAsia" w:ascii="宋体" w:hAnsi="宋体" w:eastAsia="宋体"/>
          <w:sz w:val="28"/>
          <w:szCs w:val="28"/>
        </w:rPr>
        <w:t>对于省属高等院校所属企业统一监管，按照国务院关于高等学校所属企业体制改革的指导意见推进，另行制定相关办法。</w:t>
      </w:r>
    </w:p>
    <w:p>
      <w:pPr>
        <w:ind w:firstLine="560" w:firstLineChars="200"/>
        <w:rPr>
          <w:rFonts w:ascii="宋体" w:hAnsi="宋体" w:eastAsia="宋体"/>
          <w:sz w:val="28"/>
          <w:szCs w:val="28"/>
        </w:rPr>
      </w:pPr>
      <w:r>
        <w:rPr>
          <w:rFonts w:hint="eastAsia" w:ascii="宋体" w:hAnsi="宋体" w:eastAsia="宋体"/>
          <w:sz w:val="28"/>
          <w:szCs w:val="28"/>
        </w:rPr>
        <w:t>对于“僵尸企业”“空壳企业”以及长期亏损、扭亏无望、不具备持续经营条件的企业，由部门、单位按照国家有关规定采取破产、注销等方式清理退出或进行市场化处置。</w:t>
      </w:r>
    </w:p>
    <w:p>
      <w:pPr>
        <w:ind w:firstLine="560" w:firstLineChars="200"/>
        <w:rPr>
          <w:rFonts w:ascii="宋体" w:hAnsi="宋体" w:eastAsia="宋体"/>
          <w:sz w:val="28"/>
          <w:szCs w:val="28"/>
        </w:rPr>
      </w:pPr>
      <w:r>
        <w:rPr>
          <w:rFonts w:ascii="宋体" w:hAnsi="宋体" w:eastAsia="宋体"/>
          <w:sz w:val="28"/>
          <w:szCs w:val="28"/>
        </w:rPr>
        <w:t>2.实行集中监管</w:t>
      </w:r>
    </w:p>
    <w:p>
      <w:pPr>
        <w:ind w:firstLine="560" w:firstLineChars="200"/>
        <w:rPr>
          <w:rFonts w:ascii="宋体" w:hAnsi="宋体" w:eastAsia="宋体"/>
          <w:sz w:val="28"/>
          <w:szCs w:val="28"/>
        </w:rPr>
      </w:pPr>
      <w:r>
        <w:rPr>
          <w:rFonts w:hint="eastAsia" w:ascii="宋体" w:hAnsi="宋体" w:eastAsia="宋体"/>
          <w:sz w:val="28"/>
          <w:szCs w:val="28"/>
        </w:rPr>
        <w:t>将脱钩划转企业的国有股权纳入相关省属企业实施集中监管，由其承担资本运作、资产处置和保值增值等职责。</w:t>
      </w:r>
    </w:p>
    <w:p>
      <w:pPr>
        <w:ind w:firstLine="560" w:firstLineChars="200"/>
        <w:rPr>
          <w:rFonts w:ascii="宋体" w:hAnsi="宋体" w:eastAsia="宋体"/>
          <w:sz w:val="28"/>
          <w:szCs w:val="28"/>
        </w:rPr>
      </w:pPr>
      <w:r>
        <w:rPr>
          <w:rFonts w:hint="eastAsia" w:ascii="宋体" w:hAnsi="宋体" w:eastAsia="宋体"/>
          <w:sz w:val="28"/>
          <w:szCs w:val="28"/>
        </w:rPr>
        <w:t>对部分划转企业，由持有划转产权的省属企业实施集中监管，履行出资人职责，负责国有股权管理、资本运作和布局结构调整。同时，原主办单位负责推动企业经营与公共事业之间良性互动、协同发展，享有根据企业经营业绩和持股情况获得收益的权利。</w:t>
      </w:r>
    </w:p>
    <w:p>
      <w:pPr>
        <w:ind w:firstLine="560" w:firstLineChars="200"/>
        <w:rPr>
          <w:rFonts w:ascii="宋体" w:hAnsi="宋体" w:eastAsia="宋体"/>
          <w:sz w:val="28"/>
          <w:szCs w:val="28"/>
        </w:rPr>
      </w:pPr>
      <w:r>
        <w:rPr>
          <w:rFonts w:ascii="宋体" w:hAnsi="宋体" w:eastAsia="宋体"/>
          <w:sz w:val="28"/>
          <w:szCs w:val="28"/>
        </w:rPr>
        <w:t>3.规范工作程序</w:t>
      </w:r>
    </w:p>
    <w:p>
      <w:pPr>
        <w:ind w:firstLine="560" w:firstLineChars="200"/>
        <w:rPr>
          <w:rFonts w:ascii="宋体" w:hAnsi="宋体" w:eastAsia="宋体"/>
          <w:sz w:val="28"/>
          <w:szCs w:val="28"/>
        </w:rPr>
      </w:pPr>
      <w:r>
        <w:rPr>
          <w:rFonts w:hint="eastAsia" w:ascii="宋体" w:hAnsi="宋体" w:eastAsia="宋体"/>
          <w:sz w:val="28"/>
          <w:szCs w:val="28"/>
        </w:rPr>
        <w:t>省直各部门、单位要在对所办企业进行全面摸底的基础上，重点摸清与本部门、单位承担的公共事业发展职能密切相关，属于自身职能拓展和延伸的企业情况，制定本部门、单位深化所办企业统一监管改革方案，并按规定程序报批后组织实施。实施过程中，要按照国家有关规定，规范操作程序，</w:t>
      </w:r>
      <w:r>
        <w:rPr>
          <w:rFonts w:ascii="宋体" w:hAnsi="宋体" w:eastAsia="宋体"/>
          <w:sz w:val="28"/>
          <w:szCs w:val="28"/>
        </w:rPr>
        <w:t>保持企业</w:t>
      </w:r>
      <w:r>
        <w:rPr>
          <w:rFonts w:hint="eastAsia" w:ascii="宋体" w:hAnsi="宋体" w:eastAsia="宋体"/>
          <w:sz w:val="28"/>
          <w:szCs w:val="28"/>
        </w:rPr>
        <w:t>稳定，维护职工合法权益。对全民所有制企业，原则上同时推进产权划纳与公司制政制；也可根据实陈情况，先划转产权，再进行公司制改制。</w:t>
      </w:r>
    </w:p>
    <w:p>
      <w:pPr>
        <w:ind w:firstLine="560" w:firstLineChars="200"/>
        <w:rPr>
          <w:rFonts w:ascii="宋体" w:hAnsi="宋体" w:eastAsia="宋体"/>
          <w:sz w:val="28"/>
          <w:szCs w:val="28"/>
        </w:rPr>
      </w:pPr>
      <w:r>
        <w:rPr>
          <w:rFonts w:hint="eastAsia" w:ascii="宋体" w:hAnsi="宋体" w:eastAsia="宋体"/>
          <w:sz w:val="28"/>
          <w:szCs w:val="28"/>
        </w:rPr>
        <w:t>各有关方面要充分</w:t>
      </w:r>
      <w:r>
        <w:rPr>
          <w:rFonts w:ascii="宋体" w:hAnsi="宋体" w:eastAsia="宋体"/>
          <w:sz w:val="28"/>
          <w:szCs w:val="28"/>
        </w:rPr>
        <w:t>发挥党组织的领导作用，严格落实全面从严治党责任。划转过程中，省属企业党委要根据实际情况，进一步优化党组织设置，理顺党组织隶属关系，扎实开展党组织活动。要把加强党的领导和完善公司治理统一起来，符合条件的企业党组织领导班子成员通过法定程序进入董事会、监事会、经理层。企业党委书记、董事长由同一人担任。重大经营管理事项必须经党组织研究讨论后，再由董事会或经理层作出决定。</w:t>
      </w:r>
    </w:p>
    <w:p>
      <w:pPr>
        <w:ind w:firstLine="562" w:firstLineChars="200"/>
        <w:rPr>
          <w:rFonts w:ascii="宋体" w:hAnsi="宋体" w:eastAsia="宋体"/>
          <w:b/>
          <w:bCs/>
          <w:sz w:val="28"/>
          <w:szCs w:val="28"/>
        </w:rPr>
      </w:pPr>
      <w:r>
        <w:rPr>
          <w:rFonts w:hint="eastAsia" w:ascii="宋体" w:hAnsi="宋体" w:eastAsia="宋体"/>
          <w:b/>
          <w:bCs/>
          <w:sz w:val="28"/>
          <w:szCs w:val="28"/>
        </w:rPr>
        <w:t>四、政策保障</w:t>
      </w:r>
    </w:p>
    <w:p>
      <w:pPr>
        <w:ind w:firstLine="560" w:firstLineChars="200"/>
        <w:rPr>
          <w:rFonts w:ascii="宋体" w:hAnsi="宋体" w:eastAsia="宋体"/>
          <w:sz w:val="28"/>
          <w:szCs w:val="28"/>
        </w:rPr>
      </w:pPr>
      <w:r>
        <w:rPr>
          <w:rFonts w:hint="eastAsia" w:ascii="宋体" w:hAnsi="宋体" w:eastAsia="宋体"/>
          <w:sz w:val="28"/>
          <w:szCs w:val="28"/>
        </w:rPr>
        <w:t>对于统一监管过程中有关经费保障、人员安置、企业改制和清理处置等问题，省直有关部门、单位要加大政策支持和保障力度，予以妥善解决。</w:t>
      </w:r>
    </w:p>
    <w:p>
      <w:pPr>
        <w:ind w:firstLine="560" w:firstLineChars="200"/>
        <w:rPr>
          <w:rFonts w:ascii="宋体" w:hAnsi="宋体" w:eastAsia="宋体"/>
          <w:sz w:val="28"/>
          <w:szCs w:val="28"/>
        </w:rPr>
      </w:pPr>
      <w:r>
        <w:rPr>
          <w:rFonts w:hint="eastAsia" w:ascii="宋体" w:hAnsi="宋体" w:eastAsia="宋体"/>
          <w:sz w:val="28"/>
          <w:szCs w:val="28"/>
        </w:rPr>
        <w:t>（一）</w:t>
      </w:r>
      <w:r>
        <w:rPr>
          <w:rFonts w:ascii="宋体" w:hAnsi="宋体" w:eastAsia="宋体"/>
          <w:sz w:val="28"/>
          <w:szCs w:val="28"/>
        </w:rPr>
        <w:t>对企业脱物划转后，经费保障受到影响的原主办单位，由省财政统筹考虑预算安排和被划转企业上交收益等，适当提高经费保障水平。</w:t>
      </w:r>
    </w:p>
    <w:p>
      <w:pPr>
        <w:ind w:firstLine="560" w:firstLineChars="200"/>
        <w:rPr>
          <w:rFonts w:ascii="宋体" w:hAnsi="宋体" w:eastAsia="宋体"/>
          <w:sz w:val="28"/>
          <w:szCs w:val="28"/>
        </w:rPr>
      </w:pPr>
      <w:r>
        <w:rPr>
          <w:rFonts w:ascii="宋体" w:hAnsi="宋体" w:eastAsia="宋体"/>
          <w:sz w:val="28"/>
          <w:szCs w:val="28"/>
        </w:rPr>
        <w:t>(二)对于资不抵值、不能正常经营的企业，对其破产、清算、注销等过程中发生的人员安置、工资社保等清算费用，先由企业净资产支付，不足部分由部门、单位通过调剂</w:t>
      </w:r>
      <w:r>
        <w:rPr>
          <w:rFonts w:hint="eastAsia" w:ascii="宋体" w:hAnsi="宋体" w:eastAsia="宋体"/>
          <w:sz w:val="28"/>
          <w:szCs w:val="28"/>
        </w:rPr>
        <w:t>预算适当解决，确实难以调剂的，可以通过省级国有资本经营预算给予适当补助。</w:t>
      </w:r>
    </w:p>
    <w:p>
      <w:pPr>
        <w:ind w:firstLine="560" w:firstLineChars="200"/>
        <w:rPr>
          <w:rFonts w:ascii="宋体" w:hAnsi="宋体" w:eastAsia="宋体"/>
          <w:sz w:val="28"/>
          <w:szCs w:val="28"/>
        </w:rPr>
      </w:pPr>
      <w:r>
        <w:rPr>
          <w:rFonts w:ascii="宋体" w:hAnsi="宋体" w:eastAsia="宋体"/>
          <w:sz w:val="28"/>
          <w:szCs w:val="28"/>
        </w:rPr>
        <w:t>(三)对省属企业统一监管过程中发生的尽职调查费用，由省国资委根据实际发生额测算，省财政通过省级国有资本</w:t>
      </w:r>
      <w:r>
        <w:rPr>
          <w:rFonts w:hint="eastAsia" w:ascii="宋体" w:hAnsi="宋体" w:eastAsia="宋体"/>
          <w:sz w:val="28"/>
          <w:szCs w:val="28"/>
        </w:rPr>
        <w:t>经营预算给予适当补助。</w:t>
      </w:r>
    </w:p>
    <w:p>
      <w:pPr>
        <w:ind w:firstLine="560" w:firstLineChars="200"/>
        <w:rPr>
          <w:rFonts w:ascii="宋体" w:hAnsi="宋体" w:eastAsia="宋体"/>
          <w:sz w:val="28"/>
          <w:szCs w:val="28"/>
        </w:rPr>
      </w:pPr>
      <w:r>
        <w:rPr>
          <w:rFonts w:ascii="宋体" w:hAnsi="宋体" w:eastAsia="宋体"/>
          <w:sz w:val="28"/>
          <w:szCs w:val="28"/>
        </w:rPr>
        <w:t>(四)对于脱钩划转企业长期占用的行政事业资产，原则上应由部门、单位收回。确实无法收回或收回后无法调剂使用的，可按规定程序报批后由企业有偿使用或划转增加企业资本金。对原已作为投资投入到划转企业的资产，原出资单位不得抽回或转为债权。</w:t>
      </w:r>
    </w:p>
    <w:p>
      <w:pPr>
        <w:ind w:firstLine="562" w:firstLineChars="200"/>
        <w:rPr>
          <w:rFonts w:ascii="宋体" w:hAnsi="宋体" w:eastAsia="宋体"/>
          <w:b/>
          <w:bCs/>
          <w:sz w:val="28"/>
          <w:szCs w:val="28"/>
        </w:rPr>
      </w:pPr>
      <w:r>
        <w:rPr>
          <w:rFonts w:hint="eastAsia" w:ascii="宋体" w:hAnsi="宋体" w:eastAsia="宋体"/>
          <w:b/>
          <w:bCs/>
          <w:sz w:val="28"/>
          <w:szCs w:val="28"/>
        </w:rPr>
        <w:t>五、组织实施</w:t>
      </w:r>
    </w:p>
    <w:p>
      <w:pPr>
        <w:ind w:firstLine="560" w:firstLineChars="200"/>
        <w:rPr>
          <w:rFonts w:ascii="宋体" w:hAnsi="宋体" w:eastAsia="宋体"/>
          <w:sz w:val="28"/>
          <w:szCs w:val="28"/>
        </w:rPr>
      </w:pPr>
      <w:r>
        <w:rPr>
          <w:rFonts w:ascii="宋体" w:hAnsi="宋体" w:eastAsia="宋体"/>
          <w:sz w:val="28"/>
          <w:szCs w:val="28"/>
        </w:rPr>
        <w:t>(一)加强组织领导。省属经营性国有资产统一监管工作，由省深化国有企业改革工作领导小组负责统筹协调。省直各部门、单位应于2019年7月底前制定深化所办企业统一监管改革方案，报省深化国有企业改革工作领导小组办公室，经领导小组批准后组织实施，并于2020年3月底前报送工作完成情况。</w:t>
      </w:r>
    </w:p>
    <w:p>
      <w:pPr>
        <w:ind w:firstLine="560" w:firstLineChars="200"/>
        <w:rPr>
          <w:rFonts w:ascii="宋体" w:hAnsi="宋体" w:eastAsia="宋体"/>
          <w:sz w:val="28"/>
          <w:szCs w:val="28"/>
        </w:rPr>
      </w:pPr>
      <w:r>
        <w:rPr>
          <w:rFonts w:ascii="宋体" w:hAnsi="宋体" w:eastAsia="宋体"/>
          <w:sz w:val="28"/>
          <w:szCs w:val="28"/>
        </w:rPr>
        <w:t>(二)稳步有序推进。对于产权划转企业，以2018年12月31日为划转基准日，于2019 年9月底前完成划转。由主管部门、出资单位和划入的省属企业签订划转移交协议，将人员、资产及债权债务等管理权交由接收的省属企业管理，并傲好企业有关公司章程修改、产权变动登记、工商变</w:t>
      </w:r>
      <w:r>
        <w:rPr>
          <w:rFonts w:hint="eastAsia" w:ascii="宋体" w:hAnsi="宋体" w:eastAsia="宋体"/>
          <w:sz w:val="28"/>
          <w:szCs w:val="28"/>
        </w:rPr>
        <w:t>更登记等事项。</w:t>
      </w:r>
    </w:p>
    <w:p>
      <w:pPr>
        <w:ind w:firstLine="560" w:firstLineChars="200"/>
        <w:rPr>
          <w:rFonts w:ascii="宋体" w:hAnsi="宋体" w:eastAsia="宋体"/>
          <w:sz w:val="28"/>
          <w:szCs w:val="28"/>
        </w:rPr>
      </w:pPr>
      <w:r>
        <w:rPr>
          <w:rFonts w:hint="eastAsia" w:ascii="宋体" w:hAnsi="宋体" w:eastAsia="宋体"/>
          <w:sz w:val="28"/>
          <w:szCs w:val="28"/>
        </w:rPr>
        <w:t>对于清理关闭和市场化处置的企业，由主管部门负责制定工作计划和推进方案，并组织实施，原则上于</w:t>
      </w:r>
      <w:r>
        <w:rPr>
          <w:rFonts w:ascii="宋体" w:hAnsi="宋体" w:eastAsia="宋体"/>
          <w:sz w:val="28"/>
          <w:szCs w:val="28"/>
        </w:rPr>
        <w:t>2019年年底前完成。主管部门要严格履行对所属企业清理退出的决策审批程序，并监督企业依法合规处置相关资产和债务。</w:t>
      </w:r>
    </w:p>
    <w:p>
      <w:pPr>
        <w:ind w:firstLine="560" w:firstLineChars="200"/>
        <w:rPr>
          <w:rFonts w:ascii="宋体" w:hAnsi="宋体" w:eastAsia="宋体"/>
          <w:sz w:val="28"/>
          <w:szCs w:val="28"/>
        </w:rPr>
      </w:pPr>
      <w:r>
        <w:rPr>
          <w:rFonts w:hint="eastAsia" w:ascii="宋体" w:hAnsi="宋体" w:eastAsia="宋体"/>
          <w:sz w:val="28"/>
          <w:szCs w:val="28"/>
        </w:rPr>
        <w:t>（三）</w:t>
      </w:r>
      <w:r>
        <w:rPr>
          <w:rFonts w:ascii="宋体" w:hAnsi="宋体" w:eastAsia="宋体"/>
          <w:sz w:val="28"/>
          <w:szCs w:val="28"/>
        </w:rPr>
        <w:t>严肃工作纪律。省直部门、单位及所属企业要严格规范国有资产流转，不得隐瞒国有资产，不得抽逃、隐匿资金，不得擅自划拔、转移、出卖资产，不得突击花钱、私分财物，不得突击进人、突击提拔。要加强审计监督，维护财经法纪。对工作推进过程中责任不履行、工作不落实以及造成损失的单位或个人，要依规依纪依法追究责任。</w:t>
      </w:r>
    </w:p>
    <w:p>
      <w:pPr>
        <w:ind w:firstLine="560" w:firstLineChars="200"/>
        <w:rPr>
          <w:rFonts w:ascii="宋体" w:hAnsi="宋体" w:eastAsia="宋体"/>
          <w:sz w:val="28"/>
          <w:szCs w:val="28"/>
        </w:rPr>
      </w:pPr>
      <w:r>
        <w:rPr>
          <w:rFonts w:ascii="宋体" w:hAnsi="宋体" w:eastAsia="宋体"/>
          <w:sz w:val="28"/>
          <w:szCs w:val="28"/>
        </w:rPr>
        <w:t>(四)保证企业稳定。企业在产权划转前，仍由原主管部门、单位履行信访稳定、生产安全等管理职责。要妥善处理改革发展稳定的关系，确保企业有序运行。统一监管完成后，省国资委要加强国有资产监管，推动企业改革重组，发挥资源集聚效应，激发企业内在活力。</w:t>
      </w:r>
    </w:p>
    <w:p>
      <w:pPr>
        <w:ind w:firstLine="560" w:firstLineChars="200"/>
        <w:rPr>
          <w:rFonts w:ascii="宋体" w:hAnsi="宋体" w:eastAsia="宋体"/>
          <w:sz w:val="28"/>
          <w:szCs w:val="28"/>
        </w:rPr>
      </w:pPr>
    </w:p>
    <w:p>
      <w:pPr>
        <w:ind w:firstLine="560" w:firstLineChars="200"/>
        <w:rPr>
          <w:rFonts w:ascii="宋体" w:hAnsi="宋体" w:eastAsia="宋体"/>
          <w:sz w:val="28"/>
          <w:szCs w:val="28"/>
        </w:rPr>
      </w:pPr>
      <w:r>
        <w:rPr>
          <w:rFonts w:hint="eastAsia" w:ascii="宋体" w:hAnsi="宋体" w:eastAsia="宋体"/>
          <w:sz w:val="28"/>
          <w:szCs w:val="28"/>
        </w:rPr>
        <w:t>本意见所指省属企业不包含金融类、文化类企业。省属金融类、文化类企业的统一监管，按照省委、省政府相关规定执行。省级以下经营性国有资产统一监管工作，由各市结合实际制定具体推进办法。</w:t>
      </w:r>
    </w:p>
    <w:p>
      <w:pPr>
        <w:ind w:firstLine="5600" w:firstLineChars="2000"/>
        <w:rPr>
          <w:rFonts w:ascii="宋体" w:hAnsi="宋体" w:eastAsia="宋体"/>
          <w:sz w:val="28"/>
          <w:szCs w:val="28"/>
        </w:rPr>
      </w:pPr>
    </w:p>
    <w:p>
      <w:pPr>
        <w:ind w:firstLine="3920" w:firstLineChars="1400"/>
        <w:rPr>
          <w:rFonts w:ascii="宋体" w:hAnsi="宋体" w:eastAsia="宋体"/>
          <w:sz w:val="28"/>
          <w:szCs w:val="28"/>
        </w:rPr>
      </w:pPr>
      <w:r>
        <w:rPr>
          <w:rFonts w:hint="eastAsia" w:ascii="宋体" w:hAnsi="宋体" w:eastAsia="宋体"/>
          <w:sz w:val="28"/>
          <w:szCs w:val="28"/>
        </w:rPr>
        <w:t>中共山东省委办公厅</w:t>
      </w:r>
    </w:p>
    <w:p>
      <w:pPr>
        <w:ind w:firstLine="3640" w:firstLineChars="1300"/>
        <w:rPr>
          <w:rFonts w:ascii="宋体" w:hAnsi="宋体" w:eastAsia="宋体"/>
          <w:sz w:val="28"/>
          <w:szCs w:val="28"/>
        </w:rPr>
      </w:pPr>
      <w:r>
        <w:rPr>
          <w:rFonts w:ascii="宋体" w:hAnsi="宋体" w:eastAsia="宋体"/>
          <w:sz w:val="28"/>
          <w:szCs w:val="28"/>
        </w:rPr>
        <w:t>2019年5月17日印发</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hint="eastAsia"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hint="eastAsia"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(九)事业资产管理绩效评价</w:t>
      </w:r>
    </w:p>
    <w:p>
      <w:pPr>
        <w:ind w:firstLine="800" w:firstLineChars="200"/>
        <w:jc w:val="center"/>
        <w:rPr>
          <w:rFonts w:hint="eastAsia"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keepNext/>
        <w:keepLines/>
        <w:spacing w:after="320"/>
        <w:ind w:firstLine="800" w:firstLineChars="200"/>
        <w:jc w:val="center"/>
        <w:outlineLvl w:val="0"/>
        <w:rPr>
          <w:rFonts w:ascii="方正小标宋简体" w:hAnsi="方正仿宋简体" w:eastAsia="方正小标宋简体" w:cs="方正仿宋简体"/>
          <w:color w:val="000000"/>
          <w:sz w:val="40"/>
          <w:szCs w:val="40"/>
        </w:rPr>
      </w:pPr>
      <w:r>
        <w:rPr>
          <w:rFonts w:hint="eastAsia" w:ascii="方正小标宋简体" w:hAnsi="方正仿宋简体" w:eastAsia="方正小标宋简体" w:cs="方正仿宋简体"/>
          <w:color w:val="000000"/>
          <w:sz w:val="40"/>
          <w:szCs w:val="40"/>
        </w:rPr>
        <w:t>山东省财政厅文件</w:t>
      </w:r>
    </w:p>
    <w:p>
      <w:pPr>
        <w:pStyle w:val="23"/>
        <w:pBdr>
          <w:bottom w:val="single" w:color="auto" w:sz="4" w:space="0"/>
        </w:pBdr>
        <w:spacing w:line="400" w:lineRule="exact"/>
        <w:ind w:firstLine="520" w:firstLineChars="200"/>
        <w:jc w:val="center"/>
        <w:rPr>
          <w:rFonts w:ascii="方正仿宋简体" w:hAnsi="方正仿宋简体" w:eastAsia="方正仿宋简体" w:cs="方正仿宋简体"/>
        </w:rPr>
      </w:pPr>
      <w:r>
        <w:rPr>
          <w:rFonts w:hint="eastAsia" w:ascii="方正仿宋简体" w:hAnsi="方正仿宋简体" w:eastAsia="方正仿宋简体" w:cs="方正仿宋简体"/>
        </w:rPr>
        <w:t>鲁财资〔2019〕49号</w:t>
      </w:r>
    </w:p>
    <w:p>
      <w:pPr>
        <w:pStyle w:val="27"/>
        <w:keepNext/>
        <w:keepLines/>
        <w:spacing w:after="0" w:line="400" w:lineRule="exact"/>
        <w:ind w:firstLine="640" w:firstLineChars="200"/>
        <w:rPr>
          <w:rFonts w:ascii="方正小标宋简体" w:hAnsi="方正仿宋简体" w:eastAsia="方正小标宋简体" w:cs="方正仿宋简体"/>
          <w:sz w:val="32"/>
          <w:szCs w:val="32"/>
        </w:rPr>
      </w:pPr>
    </w:p>
    <w:p>
      <w:pPr>
        <w:pStyle w:val="27"/>
        <w:keepNext/>
        <w:keepLines/>
        <w:spacing w:after="0" w:line="400" w:lineRule="exact"/>
        <w:ind w:firstLine="640" w:firstLineChars="200"/>
        <w:rPr>
          <w:rFonts w:ascii="方正仿宋简体" w:hAnsi="方正仿宋简体" w:eastAsia="方正仿宋简体" w:cs="方正仿宋简体"/>
          <w:sz w:val="26"/>
          <w:szCs w:val="26"/>
        </w:rPr>
      </w:pPr>
      <w:r>
        <w:rPr>
          <w:rFonts w:hint="eastAsia" w:ascii="方正小标宋简体" w:hAnsi="方正仿宋简体" w:eastAsia="方正小标宋简体" w:cs="方正仿宋简体"/>
          <w:sz w:val="32"/>
          <w:szCs w:val="32"/>
        </w:rPr>
        <w:t>山东省财政厅关于印发《山东省省级行政事业性国有资产管理绩效评价暂行办法》的通知</w:t>
      </w:r>
    </w:p>
    <w:p>
      <w:pPr>
        <w:pStyle w:val="23"/>
        <w:spacing w:line="400" w:lineRule="exact"/>
        <w:ind w:firstLine="0"/>
        <w:rPr>
          <w:rFonts w:ascii="方正仿宋简体" w:hAnsi="方正仿宋简体" w:eastAsia="方正仿宋简体" w:cs="方正仿宋简体"/>
        </w:rPr>
      </w:pPr>
      <w:r>
        <w:rPr>
          <w:rFonts w:hint="eastAsia" w:ascii="方正仿宋简体" w:hAnsi="方正仿宋简体" w:eastAsia="方正仿宋简体" w:cs="方正仿宋简体"/>
        </w:rPr>
        <w:t>省直各部门、单位：</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为进一步规范和加强省级行政事业性国有资产监管，促进资产科学配置、有效使用和规范处置，根据《中华人民共和国预算法》和《中共山东省委山东省人民政府关于全面推进预算绩效管理的实施意见》（鲁发〔2019〕2号）等法规制度，我们制定了《山东省省级行政事业性国有资产管理绩效评价暂行办法》，现予印发，请认真贯彻执行。</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rPr>
        <w:drawing>
          <wp:anchor distT="0" distB="0" distL="114300" distR="114300" simplePos="0" relativeHeight="251671552" behindDoc="0" locked="0" layoutInCell="1" allowOverlap="1">
            <wp:simplePos x="0" y="0"/>
            <wp:positionH relativeFrom="column">
              <wp:posOffset>3322320</wp:posOffset>
            </wp:positionH>
            <wp:positionV relativeFrom="paragraph">
              <wp:posOffset>53340</wp:posOffset>
            </wp:positionV>
            <wp:extent cx="1692275" cy="1583055"/>
            <wp:effectExtent l="0" t="0" r="3175" b="17145"/>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r:link="rId18" cstate="print"/>
                    <a:stretch>
                      <a:fillRect/>
                    </a:stretch>
                  </pic:blipFill>
                  <pic:spPr>
                    <a:xfrm>
                      <a:off x="0" y="0"/>
                      <a:ext cx="1692275" cy="1583055"/>
                    </a:xfrm>
                    <a:prstGeom prst="rect">
                      <a:avLst/>
                    </a:prstGeom>
                    <a:noFill/>
                    <a:ln>
                      <a:noFill/>
                    </a:ln>
                  </pic:spPr>
                </pic:pic>
              </a:graphicData>
            </a:graphic>
          </wp:anchor>
        </w:drawing>
      </w: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autoSpaceDE w:val="0"/>
        <w:autoSpaceDN w:val="0"/>
        <w:spacing w:after="613" w:line="400" w:lineRule="exact"/>
        <w:ind w:firstLine="520" w:firstLineChars="200"/>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 xml:space="preserve"> </w:t>
      </w:r>
    </w:p>
    <w:p>
      <w:pPr>
        <w:widowControl/>
        <w:snapToGrid w:val="0"/>
        <w:spacing w:line="400" w:lineRule="exact"/>
        <w:ind w:firstLine="520" w:firstLineChars="200"/>
        <w:jc w:val="left"/>
        <w:rPr>
          <w:rFonts w:ascii="方正仿宋简体" w:hAnsi="方正仿宋简体" w:eastAsia="方正仿宋简体" w:cs="方正仿宋简体"/>
          <w:sz w:val="26"/>
          <w:szCs w:val="26"/>
        </w:rPr>
        <w:sectPr>
          <w:pgSz w:w="11900" w:h="16838"/>
          <w:pgMar w:top="1417" w:right="1701" w:bottom="1417" w:left="1701" w:header="850" w:footer="850" w:gutter="0"/>
          <w:cols w:space="720" w:num="1"/>
          <w:docGrid w:type="lines" w:linePitch="366" w:charSpace="0"/>
        </w:sectPr>
      </w:pPr>
    </w:p>
    <w:p>
      <w:pPr>
        <w:pStyle w:val="27"/>
        <w:keepNext/>
        <w:keepLines/>
        <w:spacing w:after="0" w:line="240" w:lineRule="auto"/>
        <w:ind w:firstLine="800" w:firstLineChars="200"/>
        <w:rPr>
          <w:rFonts w:ascii="方正小标宋简体" w:hAnsi="方正仿宋简体" w:eastAsia="方正小标宋简体" w:cs="方正仿宋简体"/>
        </w:rPr>
      </w:pPr>
      <w:r>
        <w:rPr>
          <w:rFonts w:hint="eastAsia" w:ascii="方正小标宋简体" w:hAnsi="方正仿宋简体" w:eastAsia="方正小标宋简体" w:cs="方正仿宋简体"/>
        </w:rPr>
        <w:t>山东省省级行政事业性国有资产管理</w:t>
      </w:r>
      <w:r>
        <w:rPr>
          <w:rFonts w:hint="eastAsia" w:ascii="方正小标宋简体" w:hAnsi="方正仿宋简体" w:eastAsia="方正小标宋简体" w:cs="方正仿宋简体"/>
        </w:rPr>
        <w:br w:type="textWrapping"/>
      </w:r>
      <w:r>
        <w:rPr>
          <w:rFonts w:hint="eastAsia" w:ascii="方正小标宋简体" w:hAnsi="方正仿宋简体" w:eastAsia="方正小标宋简体" w:cs="方正仿宋简体"/>
        </w:rPr>
        <w:t>绩效评价暂行办法</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总则</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第一条</w:t>
      </w:r>
      <w:r>
        <w:rPr>
          <w:rFonts w:hint="eastAsia" w:ascii="方正仿宋简体" w:hAnsi="方正仿宋简体" w:eastAsia="方正仿宋简体" w:cs="方正仿宋简体"/>
        </w:rPr>
        <w:t xml:space="preserve"> 为进一步规范和加强省级行政事业性国有资产监管，强化资产管理内部流程控制，促进资产科学配置、有效使用和规范处置，降低行政运行成本，根据《中华人民共和国预算法》、《中共中央国务院关于全面实施预算绩效管理的意见》（中发〔2018〕34号）、《中共山东省委山东省人民政府关于全面推进预算绩效管理的实施意见》（鲁发〔2019〕2号）等法规制度，制定本办法。</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第二条</w:t>
      </w:r>
      <w:r>
        <w:rPr>
          <w:rFonts w:hint="eastAsia" w:ascii="方正仿宋简体" w:hAnsi="方正仿宋简体" w:eastAsia="方正仿宋简体" w:cs="方正仿宋简体"/>
        </w:rPr>
        <w:t xml:space="preserve"> 本办法评价对象为省级行政事业单位，包括党的机关、人大机关、行政机关、政协机关、监察机关、审判机关、检察机关、群团机关、民主党派机关，以及省属事业单位。</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第三条</w:t>
      </w:r>
      <w:r>
        <w:rPr>
          <w:rFonts w:hint="eastAsia" w:ascii="方正仿宋简体" w:hAnsi="方正仿宋简体" w:eastAsia="方正仿宋简体" w:cs="方正仿宋简体"/>
        </w:rPr>
        <w:t xml:space="preserve"> 资产管理绩效评价应当坚持客观公正、严格规范、注重实效的原则。</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评价内容和指标</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第四条</w:t>
      </w:r>
      <w:r>
        <w:rPr>
          <w:rFonts w:hint="eastAsia" w:ascii="方正仿宋简体" w:hAnsi="方正仿宋简体" w:eastAsia="方正仿宋简体" w:cs="方正仿宋简体"/>
        </w:rPr>
        <w:t xml:space="preserve"> 资产管理绩效主要评价省级行政事业单位资产制度建设、管理机构设置、资产配置、资产使用、资产存量盘活、信息化建设等内容。</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第五条</w:t>
      </w:r>
      <w:r>
        <w:rPr>
          <w:rFonts w:hint="eastAsia" w:ascii="方正仿宋简体" w:hAnsi="方正仿宋简体" w:eastAsia="方正仿宋简体" w:cs="方正仿宋简体"/>
        </w:rPr>
        <w:t xml:space="preserve"> 资产管理绩效评价设置定性指标和定量指标。</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第六条</w:t>
      </w:r>
      <w:r>
        <w:rPr>
          <w:rFonts w:hint="eastAsia" w:ascii="方正仿宋简体" w:hAnsi="方正仿宋简体" w:eastAsia="方正仿宋简体" w:cs="方正仿宋简体"/>
        </w:rPr>
        <w:t xml:space="preserve"> 定性指标主要包括：</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（一）资产制度管理；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（二）资产配置管理；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（三）资产使用管理；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（四）资产处置管理；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（五）资产产权管理；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（六）资产统计管理。</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第七条</w:t>
      </w:r>
      <w:r>
        <w:rPr>
          <w:rFonts w:hint="eastAsia" w:ascii="方正仿宋简体" w:hAnsi="方正仿宋简体" w:eastAsia="方正仿宋简体" w:cs="方正仿宋简体"/>
        </w:rPr>
        <w:t xml:space="preserve"> 定量指标主要包括：</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（一）闲置资产变化率，考核闲置一年以上的资产盘活情况。</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闲置资产变化率=（本年闲置资产账面价值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本年总资产账面价值）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（上一年度闲置资产账面价值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上一年度总资产账面 价值）x100%。</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（二）通用资产增长率，考核通用资产变化情况。分为通用办公家具增长率和通用办公设备增长率。</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通用办公家具增长率=（年末办公家具账面价值-年初办公家具账面价值）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年初办公家具账面价值X100%。</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通用办公设备增长率=（年末办公设备账面价值-年初办公设备账面价值）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年初办公设备账面价值X100%。</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（三）超最低使用年限资产利用率，考核内部资产延长资产使用年度的情况。分为办公家具超最低使用年限资产利用率和办公设备超最低使用年限资产利用率。</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办公家具超最低使用年限资产利用率=超最低使用年限的通用办公家具账面价值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通用办公家具账面价值X100%。</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办公设备超最低使用年限资产利用率=超最低使用年限的通用办公设备账面价值</w:t>
      </w:r>
      <w:r>
        <w:rPr>
          <w:rFonts w:hint="eastAsia" w:ascii="方正仿宋简体" w:hAnsi="方正仿宋简体" w:eastAsia="方正仿宋简体" w:cs="方正仿宋简体"/>
          <w:color w:val="333333"/>
          <w:shd w:val="clear" w:color="auto" w:fill="FFFFFF"/>
        </w:rPr>
        <w:t>÷</w:t>
      </w:r>
      <w:r>
        <w:rPr>
          <w:rFonts w:hint="eastAsia" w:ascii="方正仿宋简体" w:hAnsi="方正仿宋简体" w:eastAsia="方正仿宋简体" w:cs="方正仿宋简体"/>
        </w:rPr>
        <w:t>通用办公设备账面价值X100%。</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（四）信息化应用率，考核利用信息化手段进行资产管理的程度。分为信息系统时间节点完成率、信息数据完整率、条形码或电子标签应用程度和资产信息数据与账实相符程度。</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（五）资产共享共用率，考核资产统一调配工作开展的情况。</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第八条</w:t>
      </w:r>
      <w:r>
        <w:rPr>
          <w:rFonts w:hint="eastAsia" w:ascii="方正仿宋简体" w:hAnsi="方正仿宋简体" w:eastAsia="方正仿宋简体" w:cs="方正仿宋简体"/>
        </w:rPr>
        <w:t xml:space="preserve"> 定性和定量评价实行百分制。同时设加分项和扣分项，在资产管理方面获得省部级以上奖励、制度创新取得重大突破、资产盘活效果良好的，给予加分；在巡视、审计、监督检查工作中发现资产管理存在问题的，给予扣分。</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组织实施</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第九条</w:t>
      </w:r>
      <w:r>
        <w:rPr>
          <w:rFonts w:hint="eastAsia" w:ascii="方正仿宋简体" w:hAnsi="方正仿宋简体" w:eastAsia="方正仿宋简体" w:cs="方正仿宋简体"/>
        </w:rPr>
        <w:t xml:space="preserve"> 资产管理绩效评价分部门单位自评、省财政厅抽评和重点评价三种方式。</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第十条</w:t>
      </w:r>
      <w:r>
        <w:rPr>
          <w:rFonts w:hint="eastAsia" w:ascii="方正仿宋简体" w:hAnsi="方正仿宋简体" w:eastAsia="方正仿宋简体" w:cs="方正仿宋简体"/>
        </w:rPr>
        <w:t xml:space="preserve"> 各省级主管部门负责本部门及所属单位资产管理绩效评价工作。各省级主管部门于每年5月底前填报本部门《山东省省级行政事业性国有资产管理绩效评价表》，并撰写自评报告，报送省财政厅。</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第十一条 </w:t>
      </w:r>
      <w:r>
        <w:rPr>
          <w:rFonts w:hint="eastAsia" w:ascii="方正仿宋简体" w:hAnsi="方正仿宋简体" w:eastAsia="方正仿宋简体" w:cs="方正仿宋简体"/>
        </w:rPr>
        <w:t>省财政厅每年按照不低于20%的比例对部门实施抽评，根据工作需要对重大资产管理事项开展重点评价。</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第十二条 </w:t>
      </w:r>
      <w:r>
        <w:rPr>
          <w:rFonts w:hint="eastAsia" w:ascii="方正仿宋简体" w:hAnsi="方正仿宋简体" w:eastAsia="方正仿宋简体" w:cs="方正仿宋简体"/>
        </w:rPr>
        <w:t>省财政厅抽评或重点评价采取实地查看、核实数据、听取汇报、组织座谈、问卷调查等方式进行。</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第十三条 </w:t>
      </w:r>
      <w:r>
        <w:rPr>
          <w:rFonts w:hint="eastAsia" w:ascii="方正仿宋简体" w:hAnsi="方正仿宋简体" w:eastAsia="方正仿宋简体" w:cs="方正仿宋简体"/>
        </w:rPr>
        <w:t>省财政厅根据抽评情况，按照评价内容和评分标准确定抽评部门得分，并进行反馈。</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第十四条 </w:t>
      </w:r>
      <w:r>
        <w:rPr>
          <w:rFonts w:hint="eastAsia" w:ascii="方正仿宋简体" w:hAnsi="方正仿宋简体" w:eastAsia="方正仿宋简体" w:cs="方正仿宋简体"/>
        </w:rPr>
        <w:t>省财政厅按照得分确定评价结果。评价结果分为优秀、良好、一般、较差四个等次。</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结果应用</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笫十五条</w:t>
      </w:r>
      <w:r>
        <w:rPr>
          <w:rFonts w:hint="eastAsia" w:ascii="方正仿宋简体" w:hAnsi="方正仿宋简体" w:eastAsia="方正仿宋简体" w:cs="方正仿宋简体"/>
        </w:rPr>
        <w:t xml:space="preserve"> 省财政厅对评价结果进行通报，对存在的问题下达整改意见书，各部门应按要求认真整改。</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第十六条 </w:t>
      </w:r>
      <w:r>
        <w:rPr>
          <w:rFonts w:hint="eastAsia" w:ascii="方正仿宋简体" w:hAnsi="方正仿宋简体" w:eastAsia="方正仿宋简体" w:cs="方正仿宋简体"/>
        </w:rPr>
        <w:t>省财政厅将评价结果列入省直部门预算管理绩效综合考核评价指标，作为对省直机关、省属事业单位绩效考核的重要依据。</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附则</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第十七条</w:t>
      </w:r>
      <w:r>
        <w:rPr>
          <w:rFonts w:hint="eastAsia" w:ascii="方正仿宋简体" w:hAnsi="方正仿宋简体" w:eastAsia="方正仿宋简体" w:cs="方正仿宋简体"/>
        </w:rPr>
        <w:t xml:space="preserve"> 省级各主管部门要结合本部门实际，制定本部门资产管理绩效评价实施办法，并报省财政厅备案。</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第十八条 </w:t>
      </w:r>
      <w:r>
        <w:rPr>
          <w:rFonts w:hint="eastAsia" w:ascii="方正仿宋简体" w:hAnsi="方正仿宋简体" w:eastAsia="方正仿宋简体" w:cs="方正仿宋简体"/>
        </w:rPr>
        <w:t>本办法由省财政厅负责解释。</w:t>
      </w:r>
    </w:p>
    <w:p>
      <w:pPr>
        <w:pStyle w:val="23"/>
        <w:spacing w:line="400" w:lineRule="exact"/>
        <w:ind w:firstLine="520" w:firstLineChars="200"/>
        <w:rPr>
          <w:rFonts w:ascii="方正仿宋简体" w:hAnsi="方正仿宋简体" w:eastAsia="方正仿宋简体" w:cs="方正仿宋简体"/>
        </w:rPr>
      </w:pPr>
      <w:r>
        <w:rPr>
          <w:rFonts w:hint="eastAsia" w:ascii="楷体" w:hAnsi="楷体" w:eastAsia="楷体" w:cs="楷体"/>
        </w:rPr>
        <w:t xml:space="preserve">第十九条 </w:t>
      </w:r>
      <w:r>
        <w:rPr>
          <w:rFonts w:hint="eastAsia" w:ascii="方正仿宋简体" w:hAnsi="方正仿宋简体" w:eastAsia="方正仿宋简体" w:cs="方正仿宋简体"/>
        </w:rPr>
        <w:t>本办法自2020年1月1日起施行。</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附件：山东省省级行政事业性国有资产管理绩效评价表</w:t>
      </w: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p>
      <w:pPr>
        <w:spacing w:line="400" w:lineRule="exact"/>
        <w:ind w:firstLine="520" w:firstLineChars="200"/>
        <w:jc w:val="left"/>
        <w:rPr>
          <w:rFonts w:ascii="方正仿宋简体" w:hAnsi="方正仿宋简体" w:eastAsia="方正仿宋简体" w:cs="方正仿宋简体"/>
          <w:sz w:val="26"/>
          <w:szCs w:val="26"/>
        </w:rPr>
        <w:sectPr>
          <w:footerReference r:id="rId6" w:type="default"/>
          <w:type w:val="nextColumn"/>
          <w:pgSz w:w="11900" w:h="16838"/>
          <w:pgMar w:top="1417" w:right="1701" w:bottom="1417" w:left="1701" w:header="850" w:footer="850" w:gutter="0"/>
          <w:cols w:space="720" w:num="1"/>
          <w:docGrid w:type="lines" w:linePitch="366" w:charSpace="0"/>
        </w:sect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rPr>
        <w:drawing>
          <wp:anchor distT="0" distB="0" distL="114300" distR="114300" simplePos="0" relativeHeight="251669504" behindDoc="1" locked="0" layoutInCell="1" allowOverlap="1">
            <wp:simplePos x="0" y="0"/>
            <wp:positionH relativeFrom="page">
              <wp:posOffset>354965</wp:posOffset>
            </wp:positionH>
            <wp:positionV relativeFrom="page">
              <wp:posOffset>487680</wp:posOffset>
            </wp:positionV>
            <wp:extent cx="6910705" cy="9154160"/>
            <wp:effectExtent l="0" t="0" r="4445" b="8890"/>
            <wp:wrapNone/>
            <wp:docPr id="1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3.jpeg"/>
                    <pic:cNvPicPr>
                      <a:picLocks noChangeAspect="1"/>
                    </pic:cNvPicPr>
                  </pic:nvPicPr>
                  <pic:blipFill>
                    <a:blip r:embed="rId19" cstate="print"/>
                    <a:srcRect l="4710" t="4213" r="3574" b="10368"/>
                    <a:stretch>
                      <a:fillRect/>
                    </a:stretch>
                  </pic:blipFill>
                  <pic:spPr>
                    <a:xfrm>
                      <a:off x="0" y="0"/>
                      <a:ext cx="6910705" cy="9154160"/>
                    </a:xfrm>
                    <a:prstGeom prst="rect">
                      <a:avLst/>
                    </a:prstGeom>
                    <a:noFill/>
                    <a:ln>
                      <a:noFill/>
                    </a:ln>
                  </pic:spPr>
                </pic:pic>
              </a:graphicData>
            </a:graphic>
          </wp:anchor>
        </w:drawing>
      </w: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ind w:firstLine="800" w:firstLineChars="200"/>
        <w:jc w:val="left"/>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 xml:space="preserve"> </w:t>
      </w: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(十)事业资产年报、资产月报</w:t>
      </w: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ind w:firstLine="800" w:firstLineChars="200"/>
        <w:jc w:val="left"/>
        <w:rPr>
          <w:rFonts w:ascii="方正小标宋简体" w:hAnsi="方正仿宋简体" w:eastAsia="方正小标宋简体" w:cs="方正仿宋简体"/>
          <w:sz w:val="40"/>
          <w:szCs w:val="40"/>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财政部关于印发《政府会计准则第1号——存货》等4项具体准则的通知</w:t>
      </w:r>
    </w:p>
    <w:p>
      <w:pPr>
        <w:spacing w:line="400" w:lineRule="exact"/>
        <w:ind w:firstLine="640" w:firstLineChars="200"/>
        <w:jc w:val="center"/>
        <w:rPr>
          <w:rFonts w:ascii="方正小标宋简体" w:eastAsia="方正小标宋简体"/>
          <w:b/>
          <w:sz w:val="32"/>
          <w:szCs w:val="21"/>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党中央有关部门，国务院各部委、各直属机构，全国人大常委会办公厅，全国政协办公厅，高法院，高检院，各民主党派中央，各有关人民团体，各省、自治区、直辖市、计划单列市财政厅（局），新疆生产建设兵团财务局：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为了适应权责发生制政府综合财务报告制度改革需要，规范政府存货、投资、固定资产和无形资产的会计核算，提高会计信息质量，根据《政府会计准则——基本准则》，我部制定了《政府会计准则第１号——存货》、《政府会计准则第２号——投资》、《政府会计准则第３号——固定资产》和《政府会计准则第４号——无形资产》，现予印发，自２０１７年１月１日起施行。实施范围另行通知。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执行中有何问题，请及时反馈我部。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附件：１．政府会计准则第１号——存货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２．政府会计准则第２号——投资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３．政府会计准则第３号——固定资产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４．政府会计准则第４号——无形资产 </w:t>
      </w:r>
    </w:p>
    <w:p>
      <w:pPr>
        <w:spacing w:line="400" w:lineRule="exact"/>
        <w:ind w:firstLine="6760" w:firstLineChars="26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财政部 </w:t>
      </w:r>
    </w:p>
    <w:p>
      <w:pPr>
        <w:spacing w:line="400" w:lineRule="exact"/>
        <w:ind w:firstLine="6240" w:firstLineChars="24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2016年7月6日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r>
        <w:rPr>
          <w:rFonts w:hint="eastAsia" w:ascii="方正小标宋简体" w:eastAsia="方正小标宋简体"/>
          <w:b/>
          <w:sz w:val="26"/>
          <w:szCs w:val="26"/>
        </w:rPr>
        <w:t>附件3：政府会计准则第3号——固定资产</w:t>
      </w:r>
    </w:p>
    <w:p>
      <w:pPr>
        <w:spacing w:line="400" w:lineRule="exact"/>
        <w:ind w:firstLine="520" w:firstLineChars="200"/>
        <w:jc w:val="left"/>
        <w:rPr>
          <w:rFonts w:ascii="方正仿宋简体" w:hAnsi="方正仿宋简体" w:eastAsia="方正仿宋简体" w:cs="方正仿宋简体"/>
          <w:b/>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为了规范固定资产的确认、计量和相关信息的披露，根据《政府会计准则——基本准则》，制定本准则。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本准则所称固定资产，是指政府会计主体为满足自身开展业务活动或其他活动需要而控制的，使用年限超过1年（不含1年）、单位价值在规定标准以上，并在使用过程中基本保持原有物质形态的资产，一般包括房屋及构筑物、专用设备、通用设备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单位价值虽未达到规定标准，但是使用年限超过1年（不含1年）的大批同类物资，如图书、家具、用具、装具等，应当确认为固定资产。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公共基础设施、政府储备物资、保障性住房、自然资源资产等，适用其他相关政府会计准则。</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固定资产的确认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固定资产同时满足下列条件的，应当予以确认： （一）与该固定资产相关的服务潜力很可能实现或者经 济利益很可能流入政府会计主体； （二）该固定资产的成本或者价值能够可靠地计量。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通常情况下，购入、换入、接受捐赠、无偿调 入不需安装的固定资产，在固定资产验收合格时确认；购入、 换入、接受捐赠、无偿调入需要安装的固定资产，在固定资产安装完成交付使用时确认；自行建造、改建、扩建的固定资产，在建造完成交付使用时确认。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确认固定资产时，应当考虑以下情况：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（一）固定资产的各组成部分具有不同使用年限或者以 不同方式为政府会计主体实现服务潜力或提供经济利益，适 用不同折旧率或折旧方法且可以分别确定各自原价的，应当分别将各组成部分确认为单项固定资产。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（二）应用软件构成相关硬件不可缺少的组成部分的， 应当将该软件的价值包括在所属的硬件价值中，一并确认为 固定资产；不构成相关硬件不可缺少的组成部分的，应当将该软件确认为无形资产。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（三）购建房屋及构筑物时，不能分清购建成本中的房屋及构筑物部分与土地使用权部分的，应当全部确认为固定 资产；能够分清购建成本中的房屋及构筑物部分与土地使用 权部分的，应当将其中的房屋及构筑物部分确认为固定资 产，将其中的土地使用权部分确认为无形资产。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固定资产在使用过程中发生的后续支出，符合本准则第四条规定的确认条件的，应当计入固定资产成本； 不符合本准则第四条规定的确认条件的，应当在发生时计入 2当期费用或者相关资产成本。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将发生的固定资产后续支出计入固定资产成本的，应当同时从固定资产账面价值中扣除被替换部分的账面价值。</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固定资产的初始计量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固定资产在取得时应当按照成本进行初始计量。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政府会计主体外购的固定资产，其成本包括购买价款、相关税费以及固定资产交付使用前所发生的可归属 于该项资产的运输费、装卸费、安装费和专业人员服务费等。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以一笔款项购入多项没有单独标价的固定资产，应当按照各项固定资产同类或类似资产市场价格的比例对总成本 进行分配，分别确定各项固定资产的成本。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政府会计主体自行建造的固定资产，其成本包 括该项资产至交付使用前所发生的全部必要支出。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在原有固定资产基础上进行改建、扩建、修缮后的固定资产，其成本按照原固定资产账面价值加上改建、扩建、修 缮发生的支出，再扣除固定资产被替换部分的账面价值后的 金额确定。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为建造固定资产借入的专门借款的利息，属于建设期间发生的，计入在建工程成本；不属于建设期间发生的，计入 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已交付使用但尚未办理竣工决算手续的固定资产，应当按照估计价值入账，待办理竣工决算后再按实际成本调整原 来的暂估价值。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政府会计主体通过置换取得的固定资产，其成本按照换出资产的评估价值加上支付的补价或减去收到 的补价，加上换入固定资产发生的其他相关支出确定。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政府会计主体接受捐赠的固定资产，其成本按照有关凭据注明的金额加上相关税费、运输费等确定；没有相关凭据可供取得，但按规定经过资产评估的，其成本按照评估价值加上相关税费、运输费等确定；没有相关凭据可 供取得、也未经资产评估的，其成本比照同类或类似资产的 市场价格加上相关税费、运输费等确定；没有相关凭据且未 经资产评估、同类或类似资产的市场价格也无法可靠取得 的，按照名义金额入账，相关税费、运输费等计入当期费用。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如受赠的系旧的固定资产，在确定其初始入账成本时应当考虑该项资产的新旧程度。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政府会计主体无偿调入的固定资产，其成本按照调出方账面价值加上相关税费、运输费等确定。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政府会计主体盘盈的固定资产，按规定经过资产评估的，其成本按照评估价值确定；未经资产评估的， 其成本按照重置成本确定。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政府会计主体融资租赁取得的固定资产，其成本按照其他相关政府会计准则确定。</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固定资产的后续计量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第一节</w:t>
      </w:r>
      <w:r>
        <w:rPr>
          <w:rFonts w:hint="eastAsia" w:ascii="方正仿宋简体" w:hAnsi="方正仿宋简体" w:eastAsia="方正仿宋简体" w:cs="方正仿宋简体"/>
          <w:sz w:val="26"/>
          <w:szCs w:val="26"/>
        </w:rPr>
        <w:t xml:space="preserve"> 固定资产的折旧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政府会计主体应当对固定资产计提折旧，但本准则第十七条规定的固定资产除外。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折旧，是指在固定资产的预计使用年限内，按照确定的方法对应计的折旧额进行系统分摊。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固定资产应计的折旧额为其成本，计提固定资产折旧时不考虑预计净残值。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政府会计主体应当对暂估入账的固定资产计提折旧，实际成本确定后不需调整原已计提的折旧额。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下列各项固定资产不计提折旧：（一）文物和陈列品；（二）动植物； （三）图书、档案； （四）单独计价入账的土地； （五）以名义金额计量的固定资产。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政府会计主体应当根据相关规定以及固定资 产的性质和使用情况，合理确定固定资产的使用年限。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固定资产的使用年限一经确定，不得随意变更。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政府会计主体确定固定资产使用年限，应当考虑下列因素：（一）预计实现服务潜力或提供经济利益的期限；（二）预计有形损耗和无形损耗；（三）法律或者类似规定对资产使用的限制。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政府会计主体一般应当采用年限平均法或者工作量法计提固定资产折旧。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在确定固定资产的折旧方法时，应当考虑与固定资产相关的服务潜力或经济利益的预期实现方式。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固定资产折旧方法一经确定，不得随意变更。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固定资产应当按月计提折旧，并根据用途计入当期费用或者相关资产成本。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固定资产提足折旧后，无论能否继续使用， 均不再计提折旧；提前报废的固定资产，也不再补提折旧。 已提足折旧的固定资产，可以继续使用的，应当继续使用， 规范实物管理。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固定资产因改建、扩建或修缮等原因而延长其使用年限的，应当按照重新确定的固定资产的成本以及重新确定的折旧年限计算折旧额。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第二节</w:t>
      </w:r>
      <w:r>
        <w:rPr>
          <w:rFonts w:hint="eastAsia" w:ascii="方正仿宋简体" w:hAnsi="方正仿宋简体" w:eastAsia="方正仿宋简体" w:cs="方正仿宋简体"/>
          <w:sz w:val="26"/>
          <w:szCs w:val="26"/>
        </w:rPr>
        <w:t xml:space="preserve"> 固定资产的处置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政府会计主体按规定报经批准出售、转让固定资产或固定资产报废、毁损的，应当将固定资产账面价值转销计入当期费用，并将处置收入扣除相关处置税费后的 差额按规定作应缴款项处理（差额为净收益时）或计入当期费用（差额为净损失时）。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政府会计主体按规定报经批准对外捐赠、 无偿调出固定资产的，应当将固定资产的账面价值予以转销，对外捐赠、无偿调出中发生的归属于捐出方、调出方的相关费用应当计入当期费用。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政府会计主体按规定报经批准以固定资产对外投资的，应当将该固定资产的账面价值予以转销，并将固定资产在对外投资时的评估价值与其账面价值的差额计入当期收入或费用。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固定资产盘亏造成的损失，按规定报经批 准后应当计入当期费用。</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固定资产的披露</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政府会计主体应当在附注中披露与固定资 产有关的下列信息：（一）固定资产的分类和折旧方法。 （二）各类固定资产的使用年限、折旧率。 （三）各类固定资产账面余额、累计折旧额、账面价值 的期初、期末数及其本期变动情况。（四）以名义金额计量的固定资产名称、数量，以及以 名义金额计量的理由。 （五）已提足折旧的固定资产名称、数量等情况。 （六）接受捐赠、无偿调入的固定资产名称、数量等情 况。 （七）出租、出借固定资产以及以固定资产投资的情况。 （八）固定资产对外捐赠、无偿调出、毁损等重要资产 处置的情况。 （九）暂估入账的固定资产账面价值变动情况。</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附则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本准则自 2017 年 1 月 1 日起施行。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r>
        <w:rPr>
          <w:rFonts w:hint="eastAsia" w:ascii="方正小标宋简体" w:eastAsia="方正小标宋简体"/>
          <w:b/>
          <w:sz w:val="26"/>
          <w:szCs w:val="26"/>
        </w:rPr>
        <w:t>附件4：政府会计准则第4号——无形资产</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为了规范无形资产的确认、计量和相关信息的披露，根据《政府会计准则——基本准则》，制定本准则。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本准则所称无形资产，是指政府会计主体控制的没有实物形态的可辨认非货币性资产，如专利权、商标权、著作权、土地使用权、非专利技术等。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资产满足下列条件之一的，符合无形资产定义中的可辨认性标准：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（一）能够从政府会计主体中分离或者划分出来，并能单独或者与相关合同、资产或负债一起，用于出售、转移、授予许可、租赁或者交换。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（二）源自合同性权利或其他法定权利，无论这些权利是否可以从政府会计主体或其他权利和义务中转移或者分离。</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p>
    <w:p>
      <w:pPr>
        <w:spacing w:line="400" w:lineRule="exact"/>
        <w:jc w:val="center"/>
        <w:rPr>
          <w:rFonts w:ascii="方正小标宋简体" w:eastAsia="方正小标宋简体"/>
          <w:b/>
          <w:sz w:val="26"/>
          <w:szCs w:val="26"/>
        </w:rPr>
      </w:pPr>
      <w:r>
        <w:rPr>
          <w:rFonts w:hint="eastAsia" w:ascii="方正小标宋简体" w:eastAsia="方正小标宋简体"/>
          <w:b/>
          <w:sz w:val="26"/>
          <w:szCs w:val="26"/>
        </w:rPr>
        <w:t>附件5：政府会计准则第5号——公共基础设施</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为了规范公共基础设施的确认、计量和相关信息的披露，根据《政府会计准则——基本准则》，制定本准则。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本准则所称公共基础设施，是指政府会计主体为满足社会公共需求而控制的，同时具有以下特征的有形资产：（一）是一个有形资产系统或网络的组成部分； （二）具有特定用途； （三）一般不可移动。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共基础设施主要包括市政基础设施（如城市道路、桥梁、隧道、公交场站、路灯、广场、公园绿地、室外公共健身器材，以及环卫、排水、供水、供电、供气、供热、污水处理、垃圾处理系统等）、交通基础设施（如公路、航道、港口等）、水利基础设施（如大坝、堤防、水闸、泵站、渠道等）和其他公共基础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下列各项适用于其他相关政府会计准则：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（一）独立于公共基础设施、不构成公共基础设施使用不可缺少组成部分的管理维护用房屋建筑物、设备、车辆等，适用《政府会计准则第 3 号——固定资产》。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（二）属于文物文化资产的公共基础设施，适用其他相关政府会计准则。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（三）采用政府和社会资本合作模式（即 PPP 模式）形成的公共基础设施的确认和初始计量，适用其他相关政府会计准则。</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公共基础设施的确认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通常情况下，符合本准则第五条规定的公共基础设施，应当由按规定对其负有管理维护职责的政府会计主体予以确认。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多个政府会计主体共同管理维护的公共基础设施，应当由对该资产负有主要管理维护职责或者承担后续主要支出责任的政府会计主体予以确认。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分为多个组成部分由不同政府会计主体分别管理维护的公共基础设施，应当由各个政府会计主体分别对其负责管理维护的公共基础设施的相应部分予以确认。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负有管理维护公共基础设施职责的政府会计主体通过政府购买服务方式委托企业或其他会计主体代为管理维护公共基础设施的，该公共基础设施应当由委托方予以确认。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公共基础设施同时满足下列条件的，应当予以确认： （一）与该公共基础设施相关的服务潜力很可能实现或者经济利益很可能流入政府会计主体； （二）该公共基础设施的成本或者价值能够可靠地计量。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通常情况下，对于自建或外购的公共基础设施，政府会计主体应当在该项公共基础设施验收合格并交付使用时确认；对于无偿调入、接受捐赠的公共基础设施，政府会计主体应当在开始承担该项公共基础设施管理维护职责时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政府会计主体应当根据公共基础设施提供公共产品或服务的性质或功能特征对其进行分类确认。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共基础设施的各组成部分具有不同使用年限或者以不同方式提供公共产品或服务，适用不同折旧率或折旧方法且可以分别确定各自原价的，应当分别将各组成部分确认为该类公共基础设施的一个单项公共基础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政府会计主体在购建公共基础设施时，能够分清购建成本中的构筑物部分与土地使用权部分的，应当将其中的构筑物部分和土地使用权部分分别确认为公共基础 设施；不能分清购建成本中的构筑物部分与土地使用权部分的，应当整体确认为公共基础设施。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公共基础设施在使用过程中发生的后续支出，符合本准则第五条规定的确认条件的，应当计入公共基础设施成本；不符合本准则第五条规定的确认条件的，应当在发生时计入当期费用。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通常情况下，为增加公共基础设施使用效能或延长其使用年限而发生的改建、扩建等后续支出，应当计入公共基础设施成本；为维护公共基础设施的正常使用而发生的日常维修、养护等后续支出，应当计入当期费用。</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公共基础设施的初始计量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公共基础设施在取得时应当按照成本进行初始计量。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政府会计主体自行建造的公共基础设施，其成本包括完成批准的建设内容所发生的全部必要支出，包括建筑安装工程投资支出、设备投资支出、待摊投资支出和其他投资支出。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在原有公共基础设施基础上进行改建、扩建等建造活动后的公共基础设施，其成本按照原公共基础设施账面价值加上改建、扩建等建造活动发生的支出，再扣除公共基础设施被替换部分的账面价值后的金额确定。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为建造公共基础设施借入的专门借款的利息，属于建设期间发生的，计入该公共基础设施在建工程成本；不属于建设期间发生的，计入当期费用。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已交付使用但尚未办理竣工决算手续的公共基础设施，应当按照估计价值入账，待办理竣工决算后再按照实际成本调整原来的暂估价值。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政府会计主体接受其他会计主体无偿调入的公共基础设施，其成本按照该项公共基础设施在调出方的账面价值加上归属于调入方的相关费用确定。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第十三条 </w:t>
      </w:r>
      <w:r>
        <w:rPr>
          <w:rFonts w:hint="eastAsia" w:ascii="方正仿宋简体" w:hAnsi="方正仿宋简体" w:eastAsia="方正仿宋简体" w:cs="方正仿宋简体"/>
          <w:sz w:val="26"/>
          <w:szCs w:val="26"/>
        </w:rPr>
        <w:t>政府会计主体接受捐赠的公共基础设施，其成本按照有关凭据注明的金额加上相关费用确定；没有相关凭据可供取得，但按规定经过资产评估的，其成本按照评估价值加上相关费用确定；没有相关凭据可供取得、也未经资产评估的，其成本比照同类或类似资产的市场价格加上相关费用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如受赠的系旧的公共基础设施，在确定其初始入账成本时应当考虑该项资产的新旧程度。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政府会计主体外购的公共基础设施，其成本包括购买价款、相关税费以及公共基础设施交付使用前所发生的可归属于该项资产的运输费、装卸费、安装费和专业人员服务费等。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对于包括不同组成部分的公共基础设施，其只有总成本、没有单项组成部分成本的，政府会计主体可以按照各单项组成部分同类或类似资产的成本或市场价格比例对总成本进行分配，分别确定公共基础设施中各单项组成部分的成本。</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公共基础设施的后续计量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第一节</w:t>
      </w:r>
      <w:r>
        <w:rPr>
          <w:rFonts w:hint="eastAsia" w:ascii="方正仿宋简体" w:hAnsi="方正仿宋简体" w:eastAsia="方正仿宋简体" w:cs="方正仿宋简体"/>
          <w:sz w:val="26"/>
          <w:szCs w:val="26"/>
        </w:rPr>
        <w:t xml:space="preserve"> 公共基础设施的折旧或摊销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政府会计主体应当对公共基础设施计提折旧， 但政府会计主体持续进行良好的维护使得其性能得到永久维持的公共基础设施和确认为公共基础设施的单独计价入账的土地使用权除外。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公共基础设施应计提的折旧总额为其成本，计提公共基础设施折旧时不考虑预计净残值。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政府会计主体应当对暂估入账的公共基础设施计提折旧，实际成本确定后不需调整原已计提的折旧额。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政府会计主体应当根据公共基础设施的性质和使用情况，合理确定公共基础设施的折旧年限。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政府会计主体确定公共基础设施折旧年限，应当考虑下列因素： （一）设计使用年限或设计基准期； （二）预计实现服务潜力或提供经济利益的期限； （三）预计有形损耗和无形损耗； （四）法律或者类似规定对资产使用的限制。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公共基础设施的折旧年限一经确定，不得随意变更，但符合本准则第二十条规定的除外。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对于政府会计主体接受无偿调入、捐赠的公共基础设施，应当考虑该项资产的新旧程度，按照其尚可使用的年限计提折旧。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政府会计主体一般应当采用年限平均法或者工作量法计提公共基础设施折旧。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在确定公共基础设施的折旧方法时，应当考虑与公共基础设施相关的服务潜力或经济利益的预期实现方式。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公共基础设施折旧方法一经确定，不得随意变更。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公共基础设施应当按月计提折旧，并计入当期费用。当月增加的公共基础设施，当月开始计提折旧；当月减少的公共基础设施，当月不再计提折旧。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处于改建、扩建等建造活动期间的公共基础设施，应当暂停计提折旧。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因改建、扩建等原因而延长公共基础设施使用年限的， 应当按照重新确定的公共基础设施的成本和重新确定的折旧年限计算折旧额，不需调整原已计提的折旧额。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公共基础设施提足折旧后，无论能否继续使用，均不再计提折旧；已提足折旧的公共基础设施，可以继续使用的，应当继续使用，并规范实物管理。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提前报废的公共基础设施，不再补提折旧。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对于确认为公共基础设施的单独计价入账的土地使用权，政府会计主体应当按照《政府会计准则第 4号——无形资产》的相关规定进行摊销。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第二节</w:t>
      </w:r>
      <w:r>
        <w:rPr>
          <w:rFonts w:hint="eastAsia" w:ascii="方正仿宋简体" w:hAnsi="方正仿宋简体" w:eastAsia="方正仿宋简体" w:cs="方正仿宋简体"/>
          <w:sz w:val="26"/>
          <w:szCs w:val="26"/>
        </w:rPr>
        <w:t xml:space="preserve"> 公共基础设施的处置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政府会计主体按规定报经批准无偿调出、对外捐赠公共基础设施的，应当将公共基础设施的账面价值予以转销，无偿调出、对外捐赠中发生的归属于调出方、 捐出方的相关费用应当计入当期费用。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公共基础设施报废或遭受重大毁损的，政府会计主体应当在报经批准后将公共基础设施账面价值予以转销，并将报废、毁损过程中取得的残值变价收入扣除相关费用后的差额按规定做应缴款项处理（差额为净收益时）或计入当期费用（差额为净损失时）。</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公共基础设施的披露</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政府会计主体应当在附注中披露与公共基础设施有关的下列信息： （一）公共基础设施的分类和折旧方法。 （二）各类公共基础设施的折旧年限及其确定依据。 （三）各类公共基础设施账面余额、累计折旧额（或摊销额）、账面价值的期初、期末数及其本期变动情况。 （四）各类公共基础设施的实物量。 （五）公共基础设施在建工程的期初、期末金额及其增减变动情况。 （六）确认为公共基础设施的单独计价入账的土地使用权的账面余额、累计摊销额及其变动情况。 （七）已提足折旧继续使用的公共基础设施的名称、 数量等情况。 （八）暂估入账的公共基础设施账面价值变动情况。 （九）无偿调入、接受捐赠的公共基础设施名称、数量等情况（包括未按照本准则第十二条和第十三条规定计量并确认入账的公共基础设施的具体情况）。 （十）公共基础设施对外捐赠、无偿调出、报废、重大毁损等处置情况。 （十一）公共基础设施年度维护费用和其他后续支出情况。</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附 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对于应当确认为公共基础设施、但已确认为固定资产的资产，政府会计主体应当在本准则首次执行日将该资产按其账面价值重分类为公共基础设施。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对于应当确认但尚未入账的存量公共基础设施，政府会计主体应当在本准则首次执行日按照以下原则确定其初始入账成本：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（一）可以取得相关原始凭据的，其成本按照有关原始凭据注明的金额减去应计提的累计折旧后的金额确定；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（二）没有相关凭据可供取得，但按规定经过资产评估的，其成本按照评估价值确定；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（三）没有相关凭据可供取得、也未经资产评估的，其成本按照重置成本确定。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本准则首次执行日以后，政府会计主体应当对存量公共基础设施按其在首次执行日确定的成本和剩余折旧年限计提折旧。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本准则自 2018 年 1 月 1 日起施行。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 《政府会计准则第3号--固定资产》应用指南财会[20171 4号</w:t>
      </w: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spacing w:line="400" w:lineRule="exact"/>
        <w:ind w:firstLine="640" w:firstLineChars="200"/>
        <w:jc w:val="center"/>
        <w:outlineLvl w:val="1"/>
        <w:rPr>
          <w:rFonts w:ascii="方正仿宋简体" w:hAnsi="方正仿宋简体" w:eastAsia="方正仿宋简体" w:cs="方正仿宋简体"/>
          <w:b/>
          <w:bCs/>
          <w:color w:val="333333"/>
          <w:kern w:val="0"/>
          <w:sz w:val="32"/>
          <w:szCs w:val="32"/>
        </w:rPr>
      </w:pPr>
    </w:p>
    <w:p>
      <w:pPr>
        <w:widowControl/>
        <w:shd w:val="clear" w:color="auto" w:fill="FFFFFF"/>
        <w:ind w:firstLine="800" w:firstLineChars="200"/>
        <w:jc w:val="center"/>
        <w:outlineLvl w:val="1"/>
        <w:rPr>
          <w:rFonts w:ascii="方正小标宋简体" w:hAnsi="方正仿宋简体" w:eastAsia="方正小标宋简体" w:cs="方正仿宋简体"/>
          <w:b/>
          <w:bCs/>
          <w:color w:val="333333"/>
          <w:kern w:val="0"/>
          <w:sz w:val="40"/>
          <w:szCs w:val="40"/>
        </w:rPr>
      </w:pPr>
      <w:r>
        <w:rPr>
          <w:rFonts w:hint="eastAsia" w:ascii="方正小标宋简体" w:hAnsi="方正仿宋简体" w:eastAsia="方正小标宋简体" w:cs="方正仿宋简体"/>
          <w:b/>
          <w:bCs/>
          <w:color w:val="333333"/>
          <w:kern w:val="0"/>
          <w:sz w:val="40"/>
          <w:szCs w:val="40"/>
        </w:rPr>
        <w:t>关于印发《政府会计准则第3号——固定资产》应用指南的通知</w:t>
      </w:r>
    </w:p>
    <w:p>
      <w:pPr>
        <w:widowControl/>
        <w:shd w:val="clear" w:color="auto" w:fill="FFFFFF"/>
        <w:spacing w:after="240" w:line="400" w:lineRule="exact"/>
        <w:ind w:firstLine="640" w:firstLineChars="200"/>
        <w:jc w:val="center"/>
        <w:rPr>
          <w:rFonts w:ascii="黑体" w:hAnsi="黑体" w:eastAsia="黑体" w:cs="黑体"/>
          <w:color w:val="333333"/>
          <w:kern w:val="0"/>
          <w:sz w:val="32"/>
          <w:szCs w:val="32"/>
        </w:rPr>
      </w:pPr>
      <w:r>
        <w:rPr>
          <w:rFonts w:hint="eastAsia" w:ascii="黑体" w:hAnsi="黑体" w:eastAsia="黑体" w:cs="黑体"/>
          <w:color w:val="333333"/>
          <w:kern w:val="0"/>
          <w:sz w:val="32"/>
          <w:szCs w:val="32"/>
        </w:rPr>
        <w:t>财会[2017]4号</w:t>
      </w: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党中央有关部门，国务院各部委、各直属机构，全国人大常委会办公厅，全国政协办公厅，高法院，高检院，各民主党派中央，有关人民团体，各省、自治区、直辖市、计划单列市财政厅（局），新疆生产建设兵团财务局：</w:t>
      </w: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根据《政府会计准则——基本准则》（中华人民共和国财政部令第78号）和《政府会计准则第3号——固定资产》，我们制定了《&lt;政府会计准则第3号——固定资产&gt;应用指南》，现予印发，与《政府会计准则第3号——固定资产》同步实施。纳入政府财务报告编制试点范围的各行政事业单位，在试点工作中应当参照本应用指南所规定的折旧年限对固定资产计提折旧。</w:t>
      </w: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执行中有何问题，请及时反馈我部。</w:t>
      </w: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附件：《政府会计准则第3号——固定资产》应用指南</w:t>
      </w:r>
    </w:p>
    <w:p>
      <w:pPr>
        <w:widowControl/>
        <w:shd w:val="clear" w:color="auto" w:fill="FFFFFF"/>
        <w:spacing w:after="240" w:line="400" w:lineRule="exact"/>
        <w:ind w:firstLine="4810" w:firstLineChars="185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财 政 部</w:t>
      </w:r>
    </w:p>
    <w:p>
      <w:pPr>
        <w:widowControl/>
        <w:shd w:val="clear" w:color="auto" w:fill="FFFFFF"/>
        <w:spacing w:after="240" w:line="400" w:lineRule="exact"/>
        <w:ind w:firstLine="4420" w:firstLineChars="17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2017年2月21日</w:t>
      </w: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p>
    <w:p>
      <w:pPr>
        <w:widowControl/>
        <w:shd w:val="clear" w:color="auto" w:fill="FFFFFF"/>
        <w:spacing w:after="240"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附件：</w:t>
      </w:r>
    </w:p>
    <w:p>
      <w:pPr>
        <w:widowControl/>
        <w:shd w:val="clear" w:color="auto" w:fill="FFFFFF"/>
        <w:spacing w:after="240" w:line="400" w:lineRule="exact"/>
        <w:ind w:firstLine="520" w:firstLineChars="200"/>
        <w:jc w:val="center"/>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b/>
          <w:bCs/>
          <w:color w:val="333333"/>
          <w:kern w:val="0"/>
          <w:sz w:val="26"/>
          <w:szCs w:val="26"/>
        </w:rPr>
        <w:t>《政府会计准则第3号——固定资产》应用指南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b/>
          <w:bCs/>
          <w:color w:val="333333"/>
          <w:kern w:val="0"/>
          <w:sz w:val="26"/>
          <w:szCs w:val="26"/>
        </w:rPr>
        <w:t>一、关于固定资产折旧年限</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（一）通常情况下，政府会计主体应当按照表1规定确定各类应计提折旧的固定资产的折旧年限。</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表1：政府固定资产折旧年限表</w:t>
      </w:r>
    </w:p>
    <w:tbl>
      <w:tblPr>
        <w:tblStyle w:val="14"/>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30" w:type="dxa"/>
          <w:left w:w="30" w:type="dxa"/>
          <w:bottom w:w="30" w:type="dxa"/>
          <w:right w:w="30" w:type="dxa"/>
        </w:tblCellMar>
      </w:tblPr>
      <w:tblGrid>
        <w:gridCol w:w="1984"/>
        <w:gridCol w:w="1738"/>
        <w:gridCol w:w="2652"/>
        <w:gridCol w:w="2132"/>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固定资产类别</w:t>
            </w: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内容</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折旧年限（年）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1200" w:type="pct"/>
            <w:vMerge w:val="restar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房屋及构筑物</w:t>
            </w:r>
          </w:p>
        </w:tc>
        <w:tc>
          <w:tcPr>
            <w:tcW w:w="900" w:type="pct"/>
            <w:vMerge w:val="restar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业务及管理用房</w:t>
            </w:r>
          </w:p>
        </w:tc>
        <w:tc>
          <w:tcPr>
            <w:tcW w:w="1600" w:type="pct"/>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钢结构</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1600" w:type="pct"/>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钢筋混凝土结构</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1600" w:type="pct"/>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砖混结构</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1600" w:type="pct"/>
            <w:tcBorders>
              <w:top w:val="outset" w:color="000000" w:sz="6" w:space="0"/>
              <w:left w:val="outset" w:color="000000" w:sz="6" w:space="0"/>
              <w:bottom w:val="outset" w:color="000000" w:sz="6" w:space="0"/>
              <w:right w:val="outset" w:color="000000" w:sz="6" w:space="0"/>
            </w:tcBorders>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砖木结构</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简易房</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房屋附属设施</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构筑物</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1200" w:type="pct"/>
            <w:vMerge w:val="restar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通用设备</w:t>
            </w: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计算机设备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办公设备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车辆</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图书档案设备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机械设备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电气设备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雷达、无线电和卫星导航设备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通信设备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广播、电视、电影设备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仪器仪表</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电子和通信测量设备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计量标准器具及量具、衡器</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1200" w:type="pct"/>
            <w:vMerge w:val="restar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专用设备</w:t>
            </w: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探矿、采矿、选矿和造块设备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石油天然气开采专用设备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石油和化学工业专用设备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炼焦和金属冶炼轧制设备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电力工业专用设备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20-30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非金属矿物制品工业专用设备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核工业专用设备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20-30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航空航天工业专用设备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20-30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工程机械</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农业和林业机械</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木材采集和加工设备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食品加工专用设备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饮料加工设备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烟草加工设备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粮油作物和饲料加工设备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纺织设备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缝纫、服饰、制革和毛皮加工设备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造纸和印刷机械</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化学药品和中药专用设备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医疗设备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电工、电子专用生产设备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安全生产设备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邮政专用设备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环境污染防治设备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公安专用设备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3-10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水工机械</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殡葬设备及用品</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铁路运输设备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水上交通运输设备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航空器及其配套设备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10-20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专用仪器仪表</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文艺设备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体育设备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娱乐设备</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5-15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1200" w:type="pct"/>
            <w:vMerge w:val="restar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家具、用具及装具</w:t>
            </w: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家具</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after="240"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p>
        </w:tc>
        <w:tc>
          <w:tcPr>
            <w:tcW w:w="2550" w:type="pct"/>
            <w:gridSpan w:val="2"/>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用具、装具</w:t>
            </w:r>
          </w:p>
        </w:tc>
        <w:tc>
          <w:tcPr>
            <w:tcW w:w="1200" w:type="pct"/>
            <w:tcBorders>
              <w:top w:val="outset" w:color="000000" w:sz="6" w:space="0"/>
              <w:left w:val="outset" w:color="000000" w:sz="6" w:space="0"/>
              <w:bottom w:val="outset" w:color="000000" w:sz="6" w:space="0"/>
              <w:right w:val="outset" w:color="000000" w:sz="6" w:space="0"/>
            </w:tcBorders>
            <w:noWrap/>
            <w:tcMar>
              <w:top w:w="0" w:type="dxa"/>
              <w:left w:w="0" w:type="dxa"/>
              <w:bottom w:w="0" w:type="dxa"/>
              <w:right w:w="0" w:type="dxa"/>
            </w:tcMar>
            <w:vAlign w:val="center"/>
          </w:tcPr>
          <w:p>
            <w:pPr>
              <w:widowControl/>
              <w:spacing w:line="400" w:lineRule="exact"/>
              <w:ind w:firstLine="520" w:firstLineChars="200"/>
              <w:jc w:val="left"/>
              <w:rPr>
                <w:rFonts w:ascii="方正仿宋简体" w:hAnsi="方正仿宋简体" w:eastAsia="方正仿宋简体" w:cs="方正仿宋简体"/>
                <w:kern w:val="0"/>
                <w:sz w:val="26"/>
                <w:szCs w:val="26"/>
              </w:rPr>
            </w:pPr>
            <w:r>
              <w:rPr>
                <w:rFonts w:hint="eastAsia" w:ascii="方正仿宋简体" w:hAnsi="方正仿宋简体" w:eastAsia="方正仿宋简体" w:cs="方正仿宋简体"/>
                <w:kern w:val="0"/>
                <w:sz w:val="26"/>
                <w:szCs w:val="26"/>
              </w:rPr>
              <w:t>不低于5</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（二）国务院有关部门在遵循本应用指南中表1所规定的固定资产折旧年限的情况下，可以根据实际需要进一步细化本行业固定资产的类别，具体确定各类固定资产的折旧年限，并报财政部审核批准。</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（三）政府会计主体应当在遵循本应用指南、主管部门有关折旧年限规定的情况下，根据固定资产的性质和实际使用情况，合理确定其折旧年限。</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具体确定固定资产的折旧年限时，应当考虑下列因素：</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1.固定资产预计实现服务潜力或提供经济利益的期限；</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2.固定资产预计有形损耗和无形损耗；</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3.法律或者类似规定对固定资产使用的限制。</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（四）固定资产的折旧年限一经确定，不得随意变更。</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因改建、扩建等原因而延长固定资产使用年限的，应当重新确定固定资产的折旧年限。</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（五）政府会计主体盘盈、无偿调入、接受捐赠以及置换的固定资产，应当考虑该项资产的新旧程度，按照其尚可使用的年限计提折旧。</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b/>
          <w:bCs/>
          <w:color w:val="333333"/>
          <w:kern w:val="0"/>
          <w:sz w:val="26"/>
          <w:szCs w:val="26"/>
        </w:rPr>
        <w:t>二、关于固定资产折旧计提时点</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固定资产应当按月计提折旧，当月增加的固定资产，当月开始计提折旧；当月减少的固定资产，当月不再计提折旧。</w:t>
      </w:r>
    </w:p>
    <w:p>
      <w:pPr>
        <w:widowControl/>
        <w:shd w:val="clear" w:color="auto" w:fill="FFFFFF"/>
        <w:spacing w:line="400" w:lineRule="exact"/>
        <w:ind w:firstLine="520" w:firstLineChars="200"/>
        <w:jc w:val="left"/>
        <w:rPr>
          <w:rFonts w:ascii="方正仿宋简体" w:hAnsi="方正仿宋简体" w:eastAsia="方正仿宋简体" w:cs="方正仿宋简体"/>
          <w:color w:val="333333"/>
          <w:kern w:val="0"/>
          <w:sz w:val="26"/>
          <w:szCs w:val="26"/>
        </w:rPr>
      </w:pPr>
      <w:r>
        <w:rPr>
          <w:rFonts w:hint="eastAsia" w:ascii="方正仿宋简体" w:hAnsi="方正仿宋简体" w:eastAsia="方正仿宋简体" w:cs="方正仿宋简体"/>
          <w:color w:val="333333"/>
          <w:kern w:val="0"/>
          <w:sz w:val="26"/>
          <w:szCs w:val="26"/>
        </w:rPr>
        <w:t>固定资产提足折旧后，无论能否继续使用，均不再计提折旧；提前报废的固定资产，也不再补提折旧。已提足折旧的固定资产，可以继续使用的，应当继续使用，规范实物管理。</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关于印发《行政事业单位国有资产年度报告管理办法》的通知</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财资[2017]3号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中央有关部门，国务院各部委、各直属机构，全国人大常委会办公厅，全国政协办公厅，高法院，高检院，各民主党派中央，有关人民团体，有关中央管理企业，各省、自治区、直辖市、计划单列市财政厅（局），新疆生产建设兵团财务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了规范行政事业单位资产报告工作，加强行政事业单位国有资产监督管理，促进资产管理与预算管理相结合，提高国有资产使用效益，我们制定了《行政事业单位国有资产年度报告管理办法》。现印发给你们，请遵照执行。执行中有何问题，请及时向我部反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附件：行政事业单位国有资产年度报告管理办法</w:t>
      </w:r>
    </w:p>
    <w:p>
      <w:pPr>
        <w:spacing w:line="400" w:lineRule="exact"/>
        <w:ind w:firstLine="5460" w:firstLineChars="21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w:t>
      </w:r>
    </w:p>
    <w:p>
      <w:pPr>
        <w:spacing w:line="400" w:lineRule="exact"/>
        <w:ind w:firstLine="4940" w:firstLineChars="19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2017年1月12日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w:t>
      </w: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行政事业单位国有资产年度报告管理办法</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建立科学、规范的行政事业单位资产年度报告体系，提高国有资产信息质量和应用水平，夯实资产管理和预算管理的数据基础，为编制政府资产报告提供依据，根据《中华人民共和国预算法》、《中华人民共和国会计法》、《行政单位国有资产管理暂行办法》（财政部令第35号）、《事业单位国有资产管理暂行办法》（财政部令第36号）等国家有关规定，制定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执行行政或者事业单位财务、会计制度的各级各类行政事业单位和社会团体（以下简称行政事业单位）编制报送行政事业单位国有资产年度报告（以下简称资产报告）适用本办法。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本办法所称行政事业单位国有资产，是指由行政事业单位控制的，纳入本单位核算，依法确认为国家所有，能以货币计量的各种经济资源。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本办法所称资产报告，是指行政事业单位年度终了，根据资产管理、预算管理等工作需要，在日常管理基础上编制报送的反映行政事业单位年度资产占有、使用、变动等情况的文件，包括行政事业单位资产报表、填报说明和分析报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行政事业单位应当严格按照国家资产管理和有关财务、会计的相关制度规定，遵循资产管理与预算管理相结合、资产管理与财务管理相结合、实物管理与价值管理相结合的原则，完善资产管理内部控制体系，做好各项资产的日常管理及会计核算工作，做到账表、账账、账证、账实相符，保证资产报告数据的真实准确完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行政事业单位资产报告工作应当按照“统一规范、分级管理”的原则，由各级财政部门、主管部门，行政事业单位按照各自职责分别组织实施。</w:t>
      </w: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财政部关于做好行政事业性国有资产月报试编工作的通知</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财资〔2018〕109 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中央有关部门，国务院各部委、各直属机构，全国人大常委会办公厅，全国政协办公厅，高法院，高检院，各民主党派中央，有关人民团体，有关中央管理企业，各省、自治区、直辖市、计划单列市财政厅（局），新疆生产建设兵团财政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落实国务院向全国人大常委会报告国有资产管理情况制度要求，进一步加强行政事业性国有资产管理，及时发现并有针对性的解决问题，夯实行政事业性国有资产报告的数据基础，财政部决定从2019年1月起在全国范围内开展行政事业性国有资产月报（以下简称资产月报）试编工作。现将有关事项通知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一、编报范围和内容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按照“积极稳妥、突出重点、先易后难、逐步推开”的原则开展资产月报工作，资产月报编报范围和内容如下：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（一）编报范围。经机构编制管理部门批准成立的，执行政府会计制度的各级各类行政事业单位、社会团体；占有、使用国有资产，执行民间非营利组织会计制度的社会团体等单位。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（二）编报内容。资产月报包括报表封面、资产情况单户表、资产情况汇总表和地方资产分布情况表（详见附件1）：</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1.报表封面反映单位性质、执行会计制度、预算管理级次等基本情况。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2.资产情况单户表由各单位依据月末财务资产账面数进行填报，反映单位资产、负债、净资产以及重点关注资产的情况。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3.资产情况汇总表由中央部门和地方财政部门根据单位资产月报数据汇总形成，反映部门或地区资产、负债、净资产以及重点关注资产的总体情况。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4.地方资产分布情况表由地方财政部门汇总生成，反映地区行政事业单位国有资产分布情况。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二、报送方法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（一）报送时间。从2019年2月起，中央部门、地方财政部门每月15日前将上月资产月报报送财政部。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报送内容。中央部门报送本部门资产情况汇总表以及所属单位资产月报单户表；地方财政部门报送本地区资产情况汇总表和地方资产分布情况表。同时，各中央部门和地方财政部门完成资产月报数据审核后，将经相关负责人签字确认的《资产月报复核确认表》（详见附件2），以附件形式同时报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报送方式。资产月报采用电子数据报送方式，中央级行政事业单位全部通过财政部统一报表系统（https://tybb.mof.gov.cn）报送；地方财政部门按要求组织本地区资产月报工作，通过本地部署的统一报表系统进行数据采集和报送，没有完成部署的地方暂以数据导入统一报表系统的方式报送；涉密单位应使用统一报表系统离线客户端进行填报，并通过光盘形式报送(离线客户端以及系统操作手册在财政部网站资产管理司频道下载,网址:http://zcgls.mof.gov.cn）。</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中央单位信息设置。财政部将在统一报表系统为中央部门设置填报账户、初始密码和单位信息，请各中央部门对照资产月报编报范围，系统梳理本部门应纳入填报范围的单位，并按要求填写《资产月报编报单位基本信息表》（详见附件3），于2019年1月10日前以电子邮件方式报送财政部资产管理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（五）联系机制。为便于工作联系，请各中央部门和地方财政部门按要求填写《资产月报负责人和经办人通讯表》（详见附件4），于2019年1月10日前以电子邮件方式报送财政部资产管理司。</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三、工作要求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高度重视，加强组织领导。开展资产月报编报工作，动态了解国有资产变动情况，及时发现管理中存在的问题，对于进一步夯实行政事业性国有资产报告数据基础、加强行政事业单位国有资产管理具有重要意义。各中央部门、地方财政部门要充分认识资产月报工作的重要性，提高重视程度，加强组织领导，周密部署实施。单位主要负责人作为资产月报第一责任人，要亲自抓落实，明确牵头部门，落实专人负责此项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密切协作，完善工作流程。资产月报主要反映行政事业单位财务账面体现的资产、负债、净资产等情况，对数据的时效性、准确性要求高，需要资产、财务以及相关部门密切配合。各中央部门、地方财政部门要指导所属单位建立资产部门和财务部门密切协作机制，确定填报、审核流程，明确工作职责，加强沟通协调，确保按时保质报送资产月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加强审核，提高数据质量。各中央部门、地方财政部门要加强对本部门、本地区资产月报数据审核力度，强化动态监管。对重大数据变动，特别是因单位户数变动、核算方法调整等导致的数据变化，应及时说明情况并提供相关材料。为保证数据的全面性和真实性，地方财政部门要逐级汇总本地区资产月报数据，不能代为填报资产月报数据。财政部将视情况对资产月报工作进行考核通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强化支撑，加快信息系统部署。统一报表系统由财政部统建统管，在部本级和省级两级部署，省级部署由各省级财政部门提供运行环境、财政部统一组织实施。为确保各级行政事业单位能够通过统一报表系统逐级报送资产月报，各地应尽快准备系统运行环境，抓紧组织开展本地部署工作，并制订部署计划报财政部信息网络中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严格保密，确保信息安全。按照“谁产生信息，谁确定密级”的原则，由报送主体确定所报送信息是否涉密。凡单位认定或按国家有关规定认定为涉密的信息，不得通过网上报送，应当通过光盘等介质进行离线报送，并准确标注报送介质的密级。涉密中央部门仅需要报送汇总表和复核确认表，不再报送全级次资产月报数据。地方财政部门要注重信息安全，对地方涉密部门数据的收集、利用和存储要符合保密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及时整改，夯实数据基础。各中央部门、地方财政部门应加强资产月报数据的对比和分析，重点关注货币资金占比、在建工程转固和资产核算规范性等方面存在的问题，发现问题要立即整改，研究出台针对性强、切实有效的政策措施，堵塞管理漏洞，夯实行政事业性国有资产报告基础，提升资产管理水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联系方式：1.财政部资产管理司行政事业资产处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电话：010-68552820/2809传真：010-68552417电子邮箱：zcyb@mof.gov.cn 2.财政部信息网络中心专项应用管理处电话：010-68554105电子邮箱：hurx@mof.gov.cn附件：1.行政事业性国有资产月报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2.资产月报复核确认表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3.资产月报编报单位基本信息表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4.资产月报负责人和经办人通讯表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2018年12月29日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附件下载:</w:t>
      </w:r>
      <w:r>
        <w:rPr>
          <w:rFonts w:hint="eastAsia" w:ascii="方正仿宋简体" w:hAnsi="方正仿宋简体" w:eastAsia="方正仿宋简体" w:cs="方正仿宋简体"/>
          <w:sz w:val="26"/>
          <w:szCs w:val="26"/>
        </w:rPr>
        <w:tab/>
      </w:r>
      <w:r>
        <w:rPr>
          <w:rFonts w:hint="eastAsia" w:ascii="方正仿宋简体" w:hAnsi="方正仿宋简体" w:eastAsia="方正仿宋简体" w:cs="方正仿宋简体"/>
          <w:sz w:val="26"/>
          <w:szCs w:val="26"/>
        </w:rPr>
        <w:t>1.行政事业性国有资产月报.xlsx</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2.资产月报复核确认表.xls</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3.资产月报编报单位基本信息表.xls</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4.资产月报负责人和经办人通讯表.xls</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5.2019年度行政事业性国有资产月报编报说明.doc</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附件1</w:t>
      </w:r>
    </w:p>
    <w:tbl>
      <w:tblPr>
        <w:tblStyle w:val="14"/>
        <w:tblW w:w="24020" w:type="dxa"/>
        <w:tblInd w:w="87" w:type="dxa"/>
        <w:tblLayout w:type="autofit"/>
        <w:tblCellMar>
          <w:top w:w="0" w:type="dxa"/>
          <w:left w:w="108" w:type="dxa"/>
          <w:bottom w:w="0" w:type="dxa"/>
          <w:right w:w="108" w:type="dxa"/>
        </w:tblCellMar>
      </w:tblPr>
      <w:tblGrid>
        <w:gridCol w:w="258"/>
        <w:gridCol w:w="258"/>
        <w:gridCol w:w="3446"/>
        <w:gridCol w:w="416"/>
        <w:gridCol w:w="758"/>
        <w:gridCol w:w="416"/>
        <w:gridCol w:w="594"/>
        <w:gridCol w:w="1174"/>
        <w:gridCol w:w="594"/>
        <w:gridCol w:w="1174"/>
        <w:gridCol w:w="3762"/>
        <w:gridCol w:w="26"/>
        <w:gridCol w:w="416"/>
        <w:gridCol w:w="339"/>
        <w:gridCol w:w="169"/>
        <w:gridCol w:w="222"/>
        <w:gridCol w:w="222"/>
        <w:gridCol w:w="222"/>
        <w:gridCol w:w="594"/>
        <w:gridCol w:w="339"/>
        <w:gridCol w:w="1429"/>
        <w:gridCol w:w="339"/>
        <w:gridCol w:w="2017"/>
        <w:gridCol w:w="1406"/>
        <w:gridCol w:w="416"/>
        <w:gridCol w:w="1768"/>
        <w:gridCol w:w="1768"/>
      </w:tblGrid>
      <w:tr>
        <w:tblPrEx>
          <w:tblCellMar>
            <w:top w:w="0" w:type="dxa"/>
            <w:left w:w="108" w:type="dxa"/>
            <w:bottom w:w="0" w:type="dxa"/>
            <w:right w:w="108" w:type="dxa"/>
          </w:tblCellMar>
        </w:tblPrEx>
        <w:trPr>
          <w:gridAfter w:val="4"/>
          <w:wAfter w:w="5184" w:type="dxa"/>
          <w:trHeight w:val="698" w:hRule="atLeast"/>
        </w:trPr>
        <w:tc>
          <w:tcPr>
            <w:tcW w:w="18836" w:type="dxa"/>
            <w:gridSpan w:val="23"/>
            <w:tcBorders>
              <w:top w:val="single" w:color="auto" w:sz="4" w:space="0"/>
              <w:left w:val="single" w:color="auto" w:sz="4" w:space="0"/>
              <w:bottom w:val="nil"/>
              <w:right w:val="single" w:color="000000" w:sz="4" w:space="0"/>
            </w:tcBorders>
            <w:shd w:val="clear" w:color="auto" w:fill="auto"/>
            <w:noWrap/>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行政事业性国有资产月报</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13380" w:type="dxa"/>
            <w:gridSpan w:val="15"/>
            <w:tcBorders>
              <w:top w:val="nil"/>
              <w:left w:val="nil"/>
              <w:bottom w:val="nil"/>
              <w:right w:val="nil"/>
            </w:tcBorders>
            <w:shd w:val="clear" w:color="auto" w:fill="auto"/>
            <w:noWrap/>
            <w:vAlign w:val="center"/>
          </w:tcPr>
          <w:p>
            <w:pPr>
              <w:widowControl/>
              <w:jc w:val="center"/>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8074" w:type="dxa"/>
            <w:gridSpan w:val="9"/>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center"/>
          </w:tcPr>
          <w:p>
            <w:pPr>
              <w:widowControl/>
              <w:jc w:val="righ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单位名称:</w:t>
            </w:r>
          </w:p>
        </w:tc>
        <w:tc>
          <w:tcPr>
            <w:tcW w:w="8296" w:type="dxa"/>
            <w:gridSpan w:val="10"/>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single" w:color="auto" w:sz="4" w:space="0"/>
              <w:right w:val="nil"/>
            </w:tcBorders>
            <w:shd w:val="clear" w:color="auto" w:fill="auto"/>
            <w:noWrap/>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单位负责人 :</w:t>
            </w:r>
          </w:p>
        </w:tc>
        <w:tc>
          <w:tcPr>
            <w:tcW w:w="8296" w:type="dxa"/>
            <w:gridSpan w:val="10"/>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single" w:color="auto" w:sz="4" w:space="0"/>
              <w:right w:val="nil"/>
            </w:tcBorders>
            <w:shd w:val="clear" w:color="auto" w:fill="auto"/>
            <w:noWrap/>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填  表  人 :</w:t>
            </w:r>
          </w:p>
        </w:tc>
        <w:tc>
          <w:tcPr>
            <w:tcW w:w="8518" w:type="dxa"/>
            <w:gridSpan w:val="11"/>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电 话 号 码:</w:t>
            </w:r>
          </w:p>
        </w:tc>
        <w:tc>
          <w:tcPr>
            <w:tcW w:w="8518" w:type="dxa"/>
            <w:gridSpan w:val="11"/>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报 送 日 期:</w:t>
            </w:r>
          </w:p>
        </w:tc>
        <w:tc>
          <w:tcPr>
            <w:tcW w:w="8518" w:type="dxa"/>
            <w:gridSpan w:val="11"/>
            <w:tcBorders>
              <w:top w:val="nil"/>
              <w:left w:val="nil"/>
              <w:bottom w:val="single" w:color="auto" w:sz="4" w:space="0"/>
              <w:right w:val="nil"/>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        年          月          日</w:t>
            </w: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center"/>
          </w:tcPr>
          <w:p>
            <w:pPr>
              <w:widowControl/>
              <w:jc w:val="righ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center"/>
          </w:tcPr>
          <w:p>
            <w:pPr>
              <w:widowControl/>
              <w:jc w:val="right"/>
              <w:rPr>
                <w:rFonts w:ascii="宋体" w:hAnsi="宋体" w:eastAsia="宋体" w:cs="宋体"/>
                <w:kern w:val="0"/>
                <w:sz w:val="20"/>
                <w:szCs w:val="20"/>
              </w:rPr>
            </w:pPr>
          </w:p>
        </w:tc>
        <w:tc>
          <w:tcPr>
            <w:tcW w:w="8074" w:type="dxa"/>
            <w:gridSpan w:val="9"/>
            <w:tcBorders>
              <w:top w:val="nil"/>
              <w:left w:val="nil"/>
              <w:bottom w:val="nil"/>
              <w:right w:val="nil"/>
            </w:tcBorders>
            <w:shd w:val="clear" w:color="auto" w:fill="auto"/>
            <w:noWrap/>
            <w:vAlign w:val="center"/>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503" w:hRule="atLeast"/>
        </w:trPr>
        <w:tc>
          <w:tcPr>
            <w:tcW w:w="258" w:type="dxa"/>
            <w:tcBorders>
              <w:top w:val="nil"/>
              <w:left w:val="single" w:color="auto" w:sz="4" w:space="0"/>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8"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862" w:type="dxa"/>
            <w:gridSpan w:val="4"/>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8074" w:type="dxa"/>
            <w:gridSpan w:val="9"/>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2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4718" w:type="dxa"/>
            <w:gridSpan w:val="5"/>
            <w:tcBorders>
              <w:top w:val="nil"/>
              <w:left w:val="nil"/>
              <w:bottom w:val="nil"/>
              <w:right w:val="single" w:color="auto" w:sz="4" w:space="0"/>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4"/>
          <w:wAfter w:w="5184" w:type="dxa"/>
          <w:trHeight w:val="480" w:hRule="atLeast"/>
        </w:trPr>
        <w:tc>
          <w:tcPr>
            <w:tcW w:w="516" w:type="dxa"/>
            <w:gridSpan w:val="2"/>
            <w:tcBorders>
              <w:top w:val="single" w:color="auto" w:sz="4" w:space="0"/>
              <w:left w:val="single" w:color="auto" w:sz="4" w:space="0"/>
              <w:bottom w:val="nil"/>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统一社会信用代码:</w:t>
            </w:r>
          </w:p>
        </w:tc>
        <w:tc>
          <w:tcPr>
            <w:tcW w:w="12936" w:type="dxa"/>
            <w:gridSpan w:val="13"/>
            <w:tcBorders>
              <w:top w:val="single" w:color="auto" w:sz="4" w:space="0"/>
              <w:left w:val="nil"/>
              <w:bottom w:val="nil"/>
              <w:right w:val="nil"/>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c>
          <w:tcPr>
            <w:tcW w:w="666" w:type="dxa"/>
            <w:gridSpan w:val="3"/>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财政预算代码:</w:t>
            </w:r>
          </w:p>
        </w:tc>
        <w:tc>
          <w:tcPr>
            <w:tcW w:w="4718" w:type="dxa"/>
            <w:gridSpan w:val="5"/>
            <w:tcBorders>
              <w:top w:val="single" w:color="auto" w:sz="4" w:space="0"/>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gridAfter w:val="4"/>
          <w:wAfter w:w="5184" w:type="dxa"/>
          <w:trHeight w:val="1500" w:hRule="atLeast"/>
        </w:trPr>
        <w:tc>
          <w:tcPr>
            <w:tcW w:w="5378" w:type="dxa"/>
            <w:gridSpan w:val="6"/>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单位执行会计制度: 10.政府会计制度20.民间非营利组织会计制度</w:t>
            </w:r>
          </w:p>
        </w:tc>
        <w:tc>
          <w:tcPr>
            <w:tcW w:w="8074" w:type="dxa"/>
            <w:gridSpan w:val="9"/>
            <w:tcBorders>
              <w:top w:val="single" w:color="auto" w:sz="4" w:space="0"/>
              <w:left w:val="nil"/>
              <w:bottom w:val="single" w:color="auto" w:sz="4" w:space="0"/>
              <w:right w:val="nil"/>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c>
          <w:tcPr>
            <w:tcW w:w="666" w:type="dxa"/>
            <w:gridSpan w:val="3"/>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单位基本性质: 11.共产党机关 12.政府机关 13.人大机关 14.政协机关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15.群众团体 16.民主党派 17.政法机关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21.参照公务员法管理的事业单位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22.财政补助事业单位 23.经费自理事业单位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31.社会团体及其他                                                                                  </w:t>
            </w:r>
          </w:p>
        </w:tc>
        <w:tc>
          <w:tcPr>
            <w:tcW w:w="4718" w:type="dxa"/>
            <w:gridSpan w:val="5"/>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gridAfter w:val="4"/>
          <w:wAfter w:w="5184" w:type="dxa"/>
          <w:trHeight w:val="480" w:hRule="atLeast"/>
        </w:trPr>
        <w:tc>
          <w:tcPr>
            <w:tcW w:w="5378" w:type="dxa"/>
            <w:gridSpan w:val="6"/>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预算管理级次：1.中央级 2.省级 3.地（市）级 4.县级 5.乡镇级</w:t>
            </w:r>
          </w:p>
        </w:tc>
        <w:tc>
          <w:tcPr>
            <w:tcW w:w="8074" w:type="dxa"/>
            <w:gridSpan w:val="9"/>
            <w:tcBorders>
              <w:top w:val="nil"/>
              <w:left w:val="nil"/>
              <w:bottom w:val="single" w:color="auto" w:sz="4" w:space="0"/>
              <w:right w:val="nil"/>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c>
          <w:tcPr>
            <w:tcW w:w="666" w:type="dxa"/>
            <w:gridSpan w:val="3"/>
            <w:tcBorders>
              <w:top w:val="single" w:color="auto" w:sz="4" w:space="0"/>
              <w:left w:val="single" w:color="auto" w:sz="4" w:space="0"/>
              <w:bottom w:val="single" w:color="auto" w:sz="4" w:space="0"/>
              <w:right w:val="nil"/>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机构行业类型(国家标准：国民经济行业分类):</w:t>
            </w:r>
          </w:p>
        </w:tc>
        <w:tc>
          <w:tcPr>
            <w:tcW w:w="4718" w:type="dxa"/>
            <w:gridSpan w:val="5"/>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gridAfter w:val="5"/>
          <w:wAfter w:w="7201" w:type="dxa"/>
          <w:trHeight w:val="810" w:hRule="atLeast"/>
        </w:trPr>
        <w:tc>
          <w:tcPr>
            <w:tcW w:w="16819" w:type="dxa"/>
            <w:gridSpan w:val="22"/>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p>
          <w:p>
            <w:pPr>
              <w:widowControl/>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资产情况单户表</w:t>
            </w:r>
          </w:p>
        </w:tc>
      </w:tr>
      <w:tr>
        <w:tblPrEx>
          <w:tblCellMar>
            <w:top w:w="0" w:type="dxa"/>
            <w:left w:w="108" w:type="dxa"/>
            <w:bottom w:w="0" w:type="dxa"/>
            <w:right w:w="108" w:type="dxa"/>
          </w:tblCellMar>
        </w:tblPrEx>
        <w:trPr>
          <w:gridAfter w:val="5"/>
          <w:wAfter w:w="7201" w:type="dxa"/>
          <w:trHeight w:val="330" w:hRule="atLeast"/>
        </w:trPr>
        <w:tc>
          <w:tcPr>
            <w:tcW w:w="5378" w:type="dxa"/>
            <w:gridSpan w:val="6"/>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编制单位：XXXX</w:t>
            </w:r>
          </w:p>
        </w:tc>
        <w:tc>
          <w:tcPr>
            <w:tcW w:w="7298" w:type="dxa"/>
            <w:gridSpan w:val="5"/>
            <w:tcBorders>
              <w:top w:val="nil"/>
              <w:left w:val="nil"/>
              <w:bottom w:val="single" w:color="auto" w:sz="4" w:space="0"/>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             xx年xx月xx日</w:t>
            </w:r>
          </w:p>
        </w:tc>
        <w:tc>
          <w:tcPr>
            <w:tcW w:w="607" w:type="dxa"/>
            <w:gridSpan w:val="3"/>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3536" w:type="dxa"/>
            <w:gridSpan w:val="8"/>
            <w:tcBorders>
              <w:top w:val="nil"/>
              <w:left w:val="nil"/>
              <w:bottom w:val="nil"/>
              <w:right w:val="nil"/>
            </w:tcBorders>
            <w:shd w:val="clear" w:color="auto" w:fill="auto"/>
            <w:noWrap/>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单位：元</w:t>
            </w:r>
          </w:p>
        </w:tc>
      </w:tr>
      <w:tr>
        <w:tblPrEx>
          <w:tblCellMar>
            <w:top w:w="0" w:type="dxa"/>
            <w:left w:w="108" w:type="dxa"/>
            <w:bottom w:w="0" w:type="dxa"/>
            <w:right w:w="108" w:type="dxa"/>
          </w:tblCellMar>
        </w:tblPrEx>
        <w:trPr>
          <w:gridAfter w:val="5"/>
          <w:wAfter w:w="7201" w:type="dxa"/>
          <w:trHeight w:val="780" w:hRule="atLeast"/>
        </w:trPr>
        <w:tc>
          <w:tcPr>
            <w:tcW w:w="496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行政事业单位</w:t>
            </w:r>
          </w:p>
        </w:tc>
        <w:tc>
          <w:tcPr>
            <w:tcW w:w="4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行次</w:t>
            </w:r>
          </w:p>
        </w:tc>
        <w:tc>
          <w:tcPr>
            <w:tcW w:w="176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上月期末数</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期末数</w:t>
            </w:r>
          </w:p>
        </w:tc>
        <w:tc>
          <w:tcPr>
            <w:tcW w:w="376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民间非营利组织</w:t>
            </w:r>
          </w:p>
        </w:tc>
        <w:tc>
          <w:tcPr>
            <w:tcW w:w="60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行次</w:t>
            </w:r>
          </w:p>
        </w:tc>
        <w:tc>
          <w:tcPr>
            <w:tcW w:w="1768"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上月期末数</w:t>
            </w:r>
          </w:p>
        </w:tc>
        <w:tc>
          <w:tcPr>
            <w:tcW w:w="176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期末数</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栏次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376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栏次</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一、资产合计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一、资产合计</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流动资产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流动资产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其中：货币资金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其中：货币资金</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非流动资产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非流动资产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长期股权投资</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长期投资</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长期债券投资</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固定资产原值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固定资产原值</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减：固定资产累计折旧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减：固定资产累计折旧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固定资产净值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固定资产净值</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在建工程</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在建工程</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无形资产原值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无形资产原值</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减：无形资产累计摊销</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减：无形资产累计摊销</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无形资产净值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无形资产净值</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研发支出</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公共基础设施原值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减：公共基础设施累计折旧（摊销）</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公共基础设施净值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政府储备物资</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47</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文物文化资产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文物文化资产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保障性住房原值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49</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减：保障性住房累计折旧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保障性住房净值</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其他非流动资产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其他</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受托代理资产</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受托代理资产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二、负债合计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二、负债合计</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三、净资产合计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三、净资产</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其中:累计盈余</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4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专用基金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7"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5"/>
          <w:wAfter w:w="7201" w:type="dxa"/>
          <w:trHeight w:val="270" w:hRule="atLeast"/>
        </w:trPr>
        <w:tc>
          <w:tcPr>
            <w:tcW w:w="4962" w:type="dxa"/>
            <w:gridSpan w:val="5"/>
            <w:tcBorders>
              <w:top w:val="nil"/>
              <w:left w:val="single" w:color="auto" w:sz="4" w:space="0"/>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本期盈余</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07" w:type="dxa"/>
            <w:gridSpan w:val="3"/>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68" w:type="dxa"/>
            <w:gridSpan w:val="6"/>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68" w:type="dxa"/>
            <w:gridSpan w:val="2"/>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10" w:hRule="atLeast"/>
        </w:trPr>
        <w:tc>
          <w:tcPr>
            <w:tcW w:w="24020" w:type="dxa"/>
            <w:gridSpan w:val="27"/>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资产情况汇总表</w:t>
            </w:r>
          </w:p>
        </w:tc>
      </w:tr>
      <w:tr>
        <w:tblPrEx>
          <w:tblCellMar>
            <w:top w:w="0" w:type="dxa"/>
            <w:left w:w="108" w:type="dxa"/>
            <w:bottom w:w="0" w:type="dxa"/>
            <w:right w:w="108" w:type="dxa"/>
          </w:tblCellMar>
        </w:tblPrEx>
        <w:trPr>
          <w:trHeight w:val="330" w:hRule="atLeast"/>
        </w:trPr>
        <w:tc>
          <w:tcPr>
            <w:tcW w:w="4204" w:type="dxa"/>
            <w:gridSpan w:val="4"/>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编制单位：XXXX</w:t>
            </w:r>
          </w:p>
        </w:tc>
        <w:tc>
          <w:tcPr>
            <w:tcW w:w="12276" w:type="dxa"/>
            <w:gridSpan w:val="17"/>
            <w:tcBorders>
              <w:top w:val="nil"/>
              <w:left w:val="nil"/>
              <w:bottom w:val="nil"/>
              <w:right w:val="nil"/>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xx年xx月xx日</w:t>
            </w:r>
          </w:p>
        </w:tc>
        <w:tc>
          <w:tcPr>
            <w:tcW w:w="3762" w:type="dxa"/>
            <w:gridSpan w:val="3"/>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242"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0"/>
                <w:szCs w:val="20"/>
              </w:rPr>
            </w:pPr>
          </w:p>
        </w:tc>
        <w:tc>
          <w:tcPr>
            <w:tcW w:w="3536" w:type="dxa"/>
            <w:gridSpan w:val="2"/>
            <w:tcBorders>
              <w:top w:val="nil"/>
              <w:left w:val="nil"/>
              <w:bottom w:val="nil"/>
              <w:right w:val="nil"/>
            </w:tcBorders>
            <w:shd w:val="clear" w:color="auto" w:fill="auto"/>
            <w:noWrap/>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单位：万元</w:t>
            </w:r>
          </w:p>
        </w:tc>
      </w:tr>
      <w:tr>
        <w:tblPrEx>
          <w:tblCellMar>
            <w:top w:w="0" w:type="dxa"/>
            <w:left w:w="108" w:type="dxa"/>
            <w:bottom w:w="0" w:type="dxa"/>
            <w:right w:w="108" w:type="dxa"/>
          </w:tblCellMar>
        </w:tblPrEx>
        <w:trPr>
          <w:trHeight w:val="780" w:hRule="atLeast"/>
        </w:trPr>
        <w:tc>
          <w:tcPr>
            <w:tcW w:w="396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总计</w:t>
            </w:r>
          </w:p>
        </w:tc>
        <w:tc>
          <w:tcPr>
            <w:tcW w:w="2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次</w:t>
            </w:r>
          </w:p>
        </w:tc>
        <w:tc>
          <w:tcPr>
            <w:tcW w:w="176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期末数</w:t>
            </w:r>
          </w:p>
        </w:tc>
        <w:tc>
          <w:tcPr>
            <w:tcW w:w="176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期末数</w:t>
            </w:r>
          </w:p>
        </w:tc>
        <w:tc>
          <w:tcPr>
            <w:tcW w:w="496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行政事业单位</w:t>
            </w:r>
          </w:p>
        </w:tc>
        <w:tc>
          <w:tcPr>
            <w:tcW w:w="2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次</w:t>
            </w:r>
          </w:p>
        </w:tc>
        <w:tc>
          <w:tcPr>
            <w:tcW w:w="1768"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期末数</w:t>
            </w:r>
          </w:p>
        </w:tc>
        <w:tc>
          <w:tcPr>
            <w:tcW w:w="176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期末数</w:t>
            </w:r>
          </w:p>
        </w:tc>
        <w:tc>
          <w:tcPr>
            <w:tcW w:w="376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民间非营利组织</w:t>
            </w:r>
          </w:p>
        </w:tc>
        <w:tc>
          <w:tcPr>
            <w:tcW w:w="2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次</w:t>
            </w:r>
          </w:p>
        </w:tc>
        <w:tc>
          <w:tcPr>
            <w:tcW w:w="17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上月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期末数</w:t>
            </w:r>
          </w:p>
        </w:tc>
        <w:tc>
          <w:tcPr>
            <w:tcW w:w="17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期末数</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栏次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栏次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栏次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一、资产总计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一、资产合计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一、资产合计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59</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流动资产总计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流动资产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流动资产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其中：货币资金</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其中：货币资金</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其中：货币资金</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61</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非流动资产总计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非流动资产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非流动资产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62</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长期股权投资</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长期投资</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63</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长期债券投资</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其中：固定资产原值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固定资产原值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固定资产原值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65</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xml:space="preserve"> 减：固定资产累计折旧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减：固定资产累计折旧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减：固定资产累计折旧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66</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固定资产净值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固定资产净值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固定资产净值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67</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在建工程</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在建工程</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在建工程</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68</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无形资产原值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无形资产原值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无形资产原值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69</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xml:space="preserve">  减：无形资产累计摊销</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减：无形资产累计摊销</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减：无形资产累计摊销</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70</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无形资产净值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无形资产净值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无形资产净值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71</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研发支出</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公共基础设施原值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73</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减：公共基础设施累计折旧（摊销）</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74</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公共基础设施净值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75</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政府储备物资</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47</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bottom"/>
          </w:tcPr>
          <w:p>
            <w:pPr>
              <w:widowControl/>
              <w:ind w:firstLine="200" w:firstLineChars="100"/>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76</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文物文化资产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文物文化资产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77</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保障性住房原值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49</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减：保障性住房累计折旧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79</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保障性住房净值</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51</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600" w:firstLineChars="3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其他非流动资产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400" w:firstLineChars="200"/>
              <w:jc w:val="left"/>
              <w:rPr>
                <w:rFonts w:ascii="宋体" w:hAnsi="宋体" w:eastAsia="宋体" w:cs="宋体"/>
                <w:kern w:val="0"/>
                <w:sz w:val="20"/>
                <w:szCs w:val="20"/>
              </w:rPr>
            </w:pPr>
            <w:r>
              <w:rPr>
                <w:rFonts w:hint="eastAsia" w:ascii="宋体" w:hAnsi="宋体" w:eastAsia="宋体" w:cs="宋体"/>
                <w:kern w:val="0"/>
                <w:sz w:val="20"/>
                <w:szCs w:val="20"/>
              </w:rPr>
              <w:t xml:space="preserve"> 其他</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81</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受托代理资产总计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受托代理资产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53</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201" w:firstLineChars="100"/>
              <w:jc w:val="left"/>
              <w:rPr>
                <w:rFonts w:ascii="宋体" w:hAnsi="宋体" w:eastAsia="宋体" w:cs="宋体"/>
                <w:b/>
                <w:bCs/>
                <w:kern w:val="0"/>
                <w:sz w:val="20"/>
                <w:szCs w:val="20"/>
              </w:rPr>
            </w:pPr>
            <w:r>
              <w:rPr>
                <w:rFonts w:hint="eastAsia" w:ascii="宋体" w:hAnsi="宋体" w:eastAsia="宋体" w:cs="宋体"/>
                <w:b/>
                <w:bCs/>
                <w:kern w:val="0"/>
                <w:sz w:val="20"/>
                <w:szCs w:val="20"/>
              </w:rPr>
              <w:t xml:space="preserve"> 受托代理资产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82</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二、负债总计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二、负债合计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二、负债合计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83</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三、净资产总计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三、净资产合计</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55</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三、净资产</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84</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其中:累计盈余</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4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华文宋体" w:hAnsi="宋体" w:eastAsia="华文宋体" w:cs="宋体"/>
                <w:kern w:val="0"/>
                <w:sz w:val="20"/>
                <w:szCs w:val="20"/>
              </w:rPr>
            </w:pPr>
            <w:r>
              <w:rPr>
                <w:rFonts w:hint="eastAsia" w:ascii="华文宋体" w:hAnsi="宋体" w:eastAsia="华文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专用基金</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57</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270" w:hRule="atLeast"/>
        </w:trPr>
        <w:tc>
          <w:tcPr>
            <w:tcW w:w="3962" w:type="dxa"/>
            <w:gridSpan w:val="3"/>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1768"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962" w:type="dxa"/>
            <w:gridSpan w:val="3"/>
            <w:tcBorders>
              <w:top w:val="nil"/>
              <w:left w:val="nil"/>
              <w:bottom w:val="single" w:color="auto" w:sz="4" w:space="0"/>
              <w:right w:val="single" w:color="auto" w:sz="4" w:space="0"/>
            </w:tcBorders>
            <w:shd w:val="clear" w:color="auto" w:fill="auto"/>
            <w:noWrap/>
            <w:vAlign w:val="center"/>
          </w:tcPr>
          <w:p>
            <w:pPr>
              <w:widowControl/>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 xml:space="preserve">      本期盈余</w:t>
            </w:r>
          </w:p>
        </w:tc>
        <w:tc>
          <w:tcPr>
            <w:tcW w:w="2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58</w:t>
            </w:r>
          </w:p>
        </w:tc>
        <w:tc>
          <w:tcPr>
            <w:tcW w:w="1768"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68"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762" w:type="dxa"/>
            <w:gridSpan w:val="3"/>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68"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768"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tbl>
      <w:tblPr>
        <w:tblStyle w:val="14"/>
        <w:tblW w:w="16600" w:type="dxa"/>
        <w:tblInd w:w="93" w:type="dxa"/>
        <w:tblLayout w:type="autofit"/>
        <w:tblCellMar>
          <w:top w:w="0" w:type="dxa"/>
          <w:left w:w="108" w:type="dxa"/>
          <w:bottom w:w="0" w:type="dxa"/>
          <w:right w:w="108" w:type="dxa"/>
        </w:tblCellMar>
      </w:tblPr>
      <w:tblGrid>
        <w:gridCol w:w="5016"/>
        <w:gridCol w:w="497"/>
        <w:gridCol w:w="1370"/>
        <w:gridCol w:w="1305"/>
        <w:gridCol w:w="1402"/>
        <w:gridCol w:w="1402"/>
        <w:gridCol w:w="1402"/>
        <w:gridCol w:w="1402"/>
        <w:gridCol w:w="1402"/>
        <w:gridCol w:w="1402"/>
      </w:tblGrid>
      <w:tr>
        <w:tblPrEx>
          <w:tblCellMar>
            <w:top w:w="0" w:type="dxa"/>
            <w:left w:w="108" w:type="dxa"/>
            <w:bottom w:w="0" w:type="dxa"/>
            <w:right w:w="108" w:type="dxa"/>
          </w:tblCellMar>
        </w:tblPrEx>
        <w:trPr>
          <w:trHeight w:val="855" w:hRule="atLeast"/>
        </w:trPr>
        <w:tc>
          <w:tcPr>
            <w:tcW w:w="16600" w:type="dxa"/>
            <w:gridSpan w:val="10"/>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地方资产分布情况表</w:t>
            </w:r>
          </w:p>
        </w:tc>
      </w:tr>
      <w:tr>
        <w:tblPrEx>
          <w:tblCellMar>
            <w:top w:w="0" w:type="dxa"/>
            <w:left w:w="108" w:type="dxa"/>
            <w:bottom w:w="0" w:type="dxa"/>
            <w:right w:w="108" w:type="dxa"/>
          </w:tblCellMar>
        </w:tblPrEx>
        <w:trPr>
          <w:trHeight w:val="375" w:hRule="atLeast"/>
        </w:trPr>
        <w:tc>
          <w:tcPr>
            <w:tcW w:w="5513" w:type="dxa"/>
            <w:gridSpan w:val="2"/>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编制单位：XXX</w:t>
            </w:r>
          </w:p>
        </w:tc>
        <w:tc>
          <w:tcPr>
            <w:tcW w:w="5479" w:type="dxa"/>
            <w:gridSpan w:val="4"/>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xml:space="preserve">   xx年xx月</w:t>
            </w:r>
          </w:p>
        </w:tc>
        <w:tc>
          <w:tcPr>
            <w:tcW w:w="14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4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2804" w:type="dxa"/>
            <w:gridSpan w:val="2"/>
            <w:tcBorders>
              <w:top w:val="nil"/>
              <w:left w:val="nil"/>
              <w:bottom w:val="nil"/>
              <w:right w:val="nil"/>
            </w:tcBorders>
            <w:shd w:val="clear" w:color="auto" w:fill="auto"/>
            <w:noWrap/>
            <w:vAlign w:val="center"/>
          </w:tcPr>
          <w:p>
            <w:pPr>
              <w:widowControl/>
              <w:jc w:val="right"/>
              <w:rPr>
                <w:rFonts w:ascii="宋体" w:hAnsi="宋体" w:eastAsia="宋体" w:cs="宋体"/>
                <w:kern w:val="0"/>
                <w:sz w:val="22"/>
                <w:szCs w:val="22"/>
              </w:rPr>
            </w:pPr>
            <w:r>
              <w:rPr>
                <w:rFonts w:hint="eastAsia" w:ascii="宋体" w:hAnsi="宋体" w:eastAsia="宋体" w:cs="宋体"/>
                <w:kern w:val="0"/>
                <w:sz w:val="22"/>
                <w:szCs w:val="22"/>
              </w:rPr>
              <w:t>单位：万元</w:t>
            </w:r>
          </w:p>
        </w:tc>
      </w:tr>
      <w:tr>
        <w:tblPrEx>
          <w:tblCellMar>
            <w:top w:w="0" w:type="dxa"/>
            <w:left w:w="108" w:type="dxa"/>
            <w:bottom w:w="0" w:type="dxa"/>
            <w:right w:w="108" w:type="dxa"/>
          </w:tblCellMar>
        </w:tblPrEx>
        <w:trPr>
          <w:trHeight w:val="360" w:hRule="atLeast"/>
        </w:trPr>
        <w:tc>
          <w:tcPr>
            <w:tcW w:w="501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报表项目</w:t>
            </w:r>
          </w:p>
        </w:tc>
        <w:tc>
          <w:tcPr>
            <w:tcW w:w="49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行次</w:t>
            </w:r>
          </w:p>
        </w:tc>
        <w:tc>
          <w:tcPr>
            <w:tcW w:w="267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省级</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市级</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县级及以下</w:t>
            </w:r>
          </w:p>
        </w:tc>
      </w:tr>
      <w:tr>
        <w:tblPrEx>
          <w:tblCellMar>
            <w:top w:w="0" w:type="dxa"/>
            <w:left w:w="108" w:type="dxa"/>
            <w:bottom w:w="0" w:type="dxa"/>
            <w:right w:w="108" w:type="dxa"/>
          </w:tblCellMar>
        </w:tblPrEx>
        <w:trPr>
          <w:trHeight w:val="360" w:hRule="atLeast"/>
        </w:trPr>
        <w:tc>
          <w:tcPr>
            <w:tcW w:w="501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c>
          <w:tcPr>
            <w:tcW w:w="49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r>
      <w:tr>
        <w:tblPrEx>
          <w:tblCellMar>
            <w:top w:w="0" w:type="dxa"/>
            <w:left w:w="108" w:type="dxa"/>
            <w:bottom w:w="0" w:type="dxa"/>
            <w:right w:w="108" w:type="dxa"/>
          </w:tblCellMar>
        </w:tblPrEx>
        <w:trPr>
          <w:trHeight w:val="36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栏次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5</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6</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7</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8</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一、行政事业单位</w:t>
            </w:r>
          </w:p>
        </w:tc>
        <w:tc>
          <w:tcPr>
            <w:tcW w:w="49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报送户数</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（一）资产合计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流动资产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其中：货币资金</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非流动资产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5</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长期股权投资</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6</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长期债券投资</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7</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固定资产原值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8</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减：固定资产累计折旧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9</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固定资产净值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在建工程</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无形资产原值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减：无形资产累计摊销</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无形资产净值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研发支出</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公共基础设施原值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减：公共基础设施累计折旧（摊销）</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公共基础设施净值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18</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政府储备物资</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19</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文物文化资产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20</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保障性住房原值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21</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减：保障性住房累计折旧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22</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保障性住房净值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23</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其他非流动资产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24</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受托代理资产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25</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（二）负债合计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26</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（三）净资产合计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27</w:t>
            </w:r>
          </w:p>
        </w:tc>
        <w:tc>
          <w:tcPr>
            <w:tcW w:w="13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xml:space="preserve"> 累计盈余</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28</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xml:space="preserve"> 专用基金</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29</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xml:space="preserve"> 本期盈余</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30</w:t>
            </w:r>
          </w:p>
        </w:tc>
        <w:tc>
          <w:tcPr>
            <w:tcW w:w="1370"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30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55" w:hRule="atLeast"/>
        </w:trPr>
        <w:tc>
          <w:tcPr>
            <w:tcW w:w="16600" w:type="dxa"/>
            <w:gridSpan w:val="10"/>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地方资产分布情况表(续表）</w:t>
            </w:r>
          </w:p>
        </w:tc>
      </w:tr>
      <w:tr>
        <w:tblPrEx>
          <w:tblCellMar>
            <w:top w:w="0" w:type="dxa"/>
            <w:left w:w="108" w:type="dxa"/>
            <w:bottom w:w="0" w:type="dxa"/>
            <w:right w:w="108" w:type="dxa"/>
          </w:tblCellMar>
        </w:tblPrEx>
        <w:trPr>
          <w:trHeight w:val="375" w:hRule="atLeast"/>
        </w:trPr>
        <w:tc>
          <w:tcPr>
            <w:tcW w:w="5513" w:type="dxa"/>
            <w:gridSpan w:val="2"/>
            <w:tcBorders>
              <w:top w:val="nil"/>
              <w:left w:val="nil"/>
              <w:bottom w:val="nil"/>
              <w:right w:val="nil"/>
            </w:tcBorders>
            <w:shd w:val="clear" w:color="auto" w:fill="auto"/>
            <w:noWrap/>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编制单位：XXX</w:t>
            </w:r>
          </w:p>
        </w:tc>
        <w:tc>
          <w:tcPr>
            <w:tcW w:w="5479" w:type="dxa"/>
            <w:gridSpan w:val="4"/>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xml:space="preserve">   xx年xx月</w:t>
            </w:r>
          </w:p>
        </w:tc>
        <w:tc>
          <w:tcPr>
            <w:tcW w:w="14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1402"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2804" w:type="dxa"/>
            <w:gridSpan w:val="2"/>
            <w:tcBorders>
              <w:top w:val="nil"/>
              <w:left w:val="nil"/>
              <w:bottom w:val="nil"/>
              <w:right w:val="nil"/>
            </w:tcBorders>
            <w:shd w:val="clear" w:color="auto" w:fill="auto"/>
            <w:noWrap/>
            <w:vAlign w:val="center"/>
          </w:tcPr>
          <w:p>
            <w:pPr>
              <w:widowControl/>
              <w:jc w:val="right"/>
              <w:rPr>
                <w:rFonts w:ascii="宋体" w:hAnsi="宋体" w:eastAsia="宋体" w:cs="宋体"/>
                <w:kern w:val="0"/>
                <w:sz w:val="22"/>
                <w:szCs w:val="22"/>
              </w:rPr>
            </w:pPr>
            <w:r>
              <w:rPr>
                <w:rFonts w:hint="eastAsia" w:ascii="宋体" w:hAnsi="宋体" w:eastAsia="宋体" w:cs="宋体"/>
                <w:kern w:val="0"/>
                <w:sz w:val="22"/>
                <w:szCs w:val="22"/>
              </w:rPr>
              <w:t>单位：万元</w:t>
            </w:r>
          </w:p>
        </w:tc>
      </w:tr>
      <w:tr>
        <w:tblPrEx>
          <w:tblCellMar>
            <w:top w:w="0" w:type="dxa"/>
            <w:left w:w="108" w:type="dxa"/>
            <w:bottom w:w="0" w:type="dxa"/>
            <w:right w:w="108" w:type="dxa"/>
          </w:tblCellMar>
        </w:tblPrEx>
        <w:trPr>
          <w:trHeight w:val="360" w:hRule="atLeast"/>
        </w:trPr>
        <w:tc>
          <w:tcPr>
            <w:tcW w:w="501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报表项目</w:t>
            </w:r>
          </w:p>
        </w:tc>
        <w:tc>
          <w:tcPr>
            <w:tcW w:w="49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行次</w:t>
            </w:r>
          </w:p>
        </w:tc>
        <w:tc>
          <w:tcPr>
            <w:tcW w:w="267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省级</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市级</w:t>
            </w:r>
          </w:p>
        </w:tc>
        <w:tc>
          <w:tcPr>
            <w:tcW w:w="28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县级及以下</w:t>
            </w:r>
          </w:p>
        </w:tc>
      </w:tr>
      <w:tr>
        <w:tblPrEx>
          <w:tblCellMar>
            <w:top w:w="0" w:type="dxa"/>
            <w:left w:w="108" w:type="dxa"/>
            <w:bottom w:w="0" w:type="dxa"/>
            <w:right w:w="108" w:type="dxa"/>
          </w:tblCellMar>
        </w:tblPrEx>
        <w:trPr>
          <w:trHeight w:val="360" w:hRule="atLeast"/>
        </w:trPr>
        <w:tc>
          <w:tcPr>
            <w:tcW w:w="501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c>
          <w:tcPr>
            <w:tcW w:w="49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c>
          <w:tcPr>
            <w:tcW w:w="14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上月期末数</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期末数</w:t>
            </w:r>
          </w:p>
        </w:tc>
      </w:tr>
      <w:tr>
        <w:tblPrEx>
          <w:tblCellMar>
            <w:top w:w="0" w:type="dxa"/>
            <w:left w:w="108" w:type="dxa"/>
            <w:bottom w:w="0" w:type="dxa"/>
            <w:right w:w="108" w:type="dxa"/>
          </w:tblCellMar>
        </w:tblPrEx>
        <w:trPr>
          <w:trHeight w:val="36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栏次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2</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5</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6</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7</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8</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二、民间非营利组织</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31</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报送户数</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32</w:t>
            </w:r>
          </w:p>
        </w:tc>
        <w:tc>
          <w:tcPr>
            <w:tcW w:w="1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3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w:t>
            </w:r>
          </w:p>
        </w:tc>
        <w:tc>
          <w:tcPr>
            <w:tcW w:w="140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（一）资产合计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33</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流动资产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34</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其中：货币资金</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35</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非流动资产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36</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长期投资</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37</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固定资产原值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38</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减：固定资产累计折旧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39</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固定资产净值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40</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在建工程</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41</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无形资产原值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42</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减：无形资产累计摊销</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43</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660" w:firstLineChars="300"/>
              <w:jc w:val="left"/>
              <w:rPr>
                <w:rFonts w:ascii="宋体" w:hAnsi="宋体" w:eastAsia="宋体" w:cs="宋体"/>
                <w:kern w:val="0"/>
                <w:sz w:val="22"/>
                <w:szCs w:val="22"/>
              </w:rPr>
            </w:pPr>
            <w:r>
              <w:rPr>
                <w:rFonts w:hint="eastAsia" w:ascii="宋体" w:hAnsi="宋体" w:eastAsia="宋体" w:cs="宋体"/>
                <w:kern w:val="0"/>
                <w:sz w:val="22"/>
                <w:szCs w:val="22"/>
              </w:rPr>
              <w:t>无形资产净值</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44</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文物文化资产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45</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 xml:space="preserve"> 其他</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46</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ind w:firstLine="221" w:firstLineChars="100"/>
              <w:jc w:val="left"/>
              <w:rPr>
                <w:rFonts w:ascii="宋体" w:hAnsi="宋体" w:eastAsia="宋体" w:cs="宋体"/>
                <w:b/>
                <w:bCs/>
                <w:kern w:val="0"/>
                <w:sz w:val="22"/>
                <w:szCs w:val="22"/>
              </w:rPr>
            </w:pPr>
            <w:r>
              <w:rPr>
                <w:rFonts w:hint="eastAsia" w:ascii="宋体" w:hAnsi="宋体" w:eastAsia="宋体" w:cs="宋体"/>
                <w:b/>
                <w:bCs/>
                <w:kern w:val="0"/>
                <w:sz w:val="22"/>
                <w:szCs w:val="22"/>
              </w:rPr>
              <w:t xml:space="preserve"> 受托代理资产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47</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（二）负债合计</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48</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390" w:hRule="atLeast"/>
        </w:trPr>
        <w:tc>
          <w:tcPr>
            <w:tcW w:w="501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b/>
                <w:bCs/>
                <w:kern w:val="0"/>
                <w:sz w:val="22"/>
                <w:szCs w:val="22"/>
              </w:rPr>
            </w:pPr>
            <w:r>
              <w:rPr>
                <w:rFonts w:hint="eastAsia" w:ascii="宋体" w:hAnsi="宋体" w:eastAsia="宋体" w:cs="宋体"/>
                <w:b/>
                <w:bCs/>
                <w:kern w:val="0"/>
                <w:sz w:val="22"/>
                <w:szCs w:val="22"/>
              </w:rPr>
              <w:t>（三）净资产</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49</w:t>
            </w:r>
          </w:p>
        </w:tc>
        <w:tc>
          <w:tcPr>
            <w:tcW w:w="137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305"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402"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tbl>
      <w:tblPr>
        <w:tblStyle w:val="14"/>
        <w:tblW w:w="15260" w:type="dxa"/>
        <w:tblInd w:w="93" w:type="dxa"/>
        <w:tblLayout w:type="autofit"/>
        <w:tblCellMar>
          <w:top w:w="0" w:type="dxa"/>
          <w:left w:w="108" w:type="dxa"/>
          <w:bottom w:w="0" w:type="dxa"/>
          <w:right w:w="108" w:type="dxa"/>
        </w:tblCellMar>
      </w:tblPr>
      <w:tblGrid>
        <w:gridCol w:w="785"/>
        <w:gridCol w:w="4935"/>
        <w:gridCol w:w="3180"/>
        <w:gridCol w:w="3180"/>
        <w:gridCol w:w="3180"/>
      </w:tblGrid>
      <w:tr>
        <w:tblPrEx>
          <w:tblCellMar>
            <w:top w:w="0" w:type="dxa"/>
            <w:left w:w="108" w:type="dxa"/>
            <w:bottom w:w="0" w:type="dxa"/>
            <w:right w:w="108" w:type="dxa"/>
          </w:tblCellMar>
        </w:tblPrEx>
        <w:trPr>
          <w:trHeight w:val="270" w:hRule="atLeast"/>
        </w:trPr>
        <w:tc>
          <w:tcPr>
            <w:tcW w:w="5720"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附件2：</w:t>
            </w: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990" w:hRule="atLeast"/>
        </w:trPr>
        <w:tc>
          <w:tcPr>
            <w:tcW w:w="15260" w:type="dxa"/>
            <w:gridSpan w:val="5"/>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资产月报复核确认表</w:t>
            </w:r>
          </w:p>
        </w:tc>
      </w:tr>
      <w:tr>
        <w:tblPrEx>
          <w:tblCellMar>
            <w:top w:w="0" w:type="dxa"/>
            <w:left w:w="108" w:type="dxa"/>
            <w:bottom w:w="0" w:type="dxa"/>
            <w:right w:w="108" w:type="dxa"/>
          </w:tblCellMar>
        </w:tblPrEx>
        <w:trPr>
          <w:trHeight w:val="270" w:hRule="atLeast"/>
        </w:trPr>
        <w:tc>
          <w:tcPr>
            <w:tcW w:w="78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493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center"/>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5720"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编制单位：</w:t>
            </w:r>
          </w:p>
        </w:tc>
        <w:tc>
          <w:tcPr>
            <w:tcW w:w="3180" w:type="dxa"/>
            <w:tcBorders>
              <w:top w:val="nil"/>
              <w:left w:val="nil"/>
              <w:bottom w:val="nil"/>
              <w:right w:val="nil"/>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xx年xx月</w:t>
            </w: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single" w:color="auto" w:sz="4" w:space="0"/>
              <w:right w:val="nil"/>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单位：万元</w:t>
            </w:r>
          </w:p>
        </w:tc>
      </w:tr>
      <w:tr>
        <w:tblPrEx>
          <w:tblCellMar>
            <w:top w:w="0" w:type="dxa"/>
            <w:left w:w="108" w:type="dxa"/>
            <w:bottom w:w="0" w:type="dxa"/>
            <w:right w:w="108" w:type="dxa"/>
          </w:tblCellMar>
        </w:tblPrEx>
        <w:trPr>
          <w:trHeight w:val="360" w:hRule="atLeast"/>
        </w:trPr>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49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指标</w:t>
            </w:r>
          </w:p>
        </w:tc>
        <w:tc>
          <w:tcPr>
            <w:tcW w:w="3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上月期末数</w:t>
            </w:r>
          </w:p>
        </w:tc>
        <w:tc>
          <w:tcPr>
            <w:tcW w:w="3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本期期末数</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差异率%</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49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报送户数</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49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资产合计</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流动资产</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其中：货币性资金</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非流动资产</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其中：固定资产原值</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880" w:firstLineChars="4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在建工程</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880" w:firstLineChars="4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无形资产原值</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4935" w:type="dxa"/>
            <w:tcBorders>
              <w:top w:val="nil"/>
              <w:left w:val="nil"/>
              <w:bottom w:val="single" w:color="auto" w:sz="4" w:space="0"/>
              <w:right w:val="single" w:color="auto" w:sz="4" w:space="0"/>
            </w:tcBorders>
            <w:shd w:val="clear" w:color="auto" w:fill="auto"/>
            <w:noWrap/>
            <w:vAlign w:val="center"/>
          </w:tcPr>
          <w:p>
            <w:pPr>
              <w:widowControl/>
              <w:ind w:firstLine="220" w:firstLineChars="1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受托代理资产</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49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负债合计</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49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净资产合计</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1245" w:hRule="atLeast"/>
        </w:trPr>
        <w:tc>
          <w:tcPr>
            <w:tcW w:w="78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49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需要说明的有关情况和问题</w:t>
            </w:r>
          </w:p>
        </w:tc>
        <w:tc>
          <w:tcPr>
            <w:tcW w:w="954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78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493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78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4935"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p>
        </w:tc>
        <w:tc>
          <w:tcPr>
            <w:tcW w:w="3180"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处长签字：</w:t>
            </w:r>
          </w:p>
        </w:tc>
      </w:tr>
    </w:tbl>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附件3：</w:t>
      </w:r>
    </w:p>
    <w:tbl>
      <w:tblPr>
        <w:tblStyle w:val="14"/>
        <w:tblW w:w="11240" w:type="dxa"/>
        <w:tblInd w:w="87" w:type="dxa"/>
        <w:tblLayout w:type="autofit"/>
        <w:tblCellMar>
          <w:top w:w="0" w:type="dxa"/>
          <w:left w:w="108" w:type="dxa"/>
          <w:bottom w:w="0" w:type="dxa"/>
          <w:right w:w="108" w:type="dxa"/>
        </w:tblCellMar>
      </w:tblPr>
      <w:tblGrid>
        <w:gridCol w:w="6"/>
        <w:gridCol w:w="588"/>
        <w:gridCol w:w="257"/>
        <w:gridCol w:w="2748"/>
        <w:gridCol w:w="432"/>
        <w:gridCol w:w="1627"/>
        <w:gridCol w:w="202"/>
        <w:gridCol w:w="3339"/>
        <w:gridCol w:w="1191"/>
        <w:gridCol w:w="497"/>
        <w:gridCol w:w="353"/>
      </w:tblGrid>
      <w:tr>
        <w:tblPrEx>
          <w:tblCellMar>
            <w:top w:w="0" w:type="dxa"/>
            <w:left w:w="108" w:type="dxa"/>
            <w:bottom w:w="0" w:type="dxa"/>
            <w:right w:w="108" w:type="dxa"/>
          </w:tblCellMar>
        </w:tblPrEx>
        <w:trPr>
          <w:trHeight w:val="450" w:hRule="atLeast"/>
        </w:trPr>
        <w:tc>
          <w:tcPr>
            <w:tcW w:w="11240" w:type="dxa"/>
            <w:gridSpan w:val="11"/>
            <w:tcBorders>
              <w:top w:val="nil"/>
              <w:left w:val="nil"/>
              <w:bottom w:val="nil"/>
              <w:right w:val="nil"/>
            </w:tcBorders>
            <w:shd w:val="clear" w:color="auto" w:fill="auto"/>
            <w:noWrap/>
            <w:vAlign w:val="center"/>
          </w:tcPr>
          <w:p>
            <w:pPr>
              <w:widowControl/>
              <w:jc w:val="center"/>
              <w:rPr>
                <w:rFonts w:ascii="等线" w:hAnsi="等线" w:eastAsia="等线" w:cs="宋体"/>
                <w:color w:val="000000"/>
                <w:kern w:val="0"/>
                <w:sz w:val="36"/>
                <w:szCs w:val="36"/>
              </w:rPr>
            </w:pPr>
            <w:r>
              <w:rPr>
                <w:rFonts w:hint="eastAsia" w:ascii="等线" w:hAnsi="等线" w:eastAsia="等线" w:cs="宋体"/>
                <w:color w:val="000000"/>
                <w:kern w:val="0"/>
                <w:sz w:val="36"/>
                <w:szCs w:val="36"/>
              </w:rPr>
              <w:t>资产月报编报单位基本信息表</w:t>
            </w:r>
          </w:p>
        </w:tc>
      </w:tr>
      <w:tr>
        <w:tblPrEx>
          <w:tblCellMar>
            <w:top w:w="0" w:type="dxa"/>
            <w:left w:w="108" w:type="dxa"/>
            <w:bottom w:w="0" w:type="dxa"/>
            <w:right w:w="108" w:type="dxa"/>
          </w:tblCellMar>
        </w:tblPrEx>
        <w:trPr>
          <w:trHeight w:val="270" w:hRule="atLeast"/>
        </w:trPr>
        <w:tc>
          <w:tcPr>
            <w:tcW w:w="85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序号</w:t>
            </w:r>
          </w:p>
        </w:tc>
        <w:tc>
          <w:tcPr>
            <w:tcW w:w="318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社会统一信用代码</w:t>
            </w:r>
          </w:p>
        </w:tc>
        <w:tc>
          <w:tcPr>
            <w:tcW w:w="16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单位名称</w:t>
            </w:r>
          </w:p>
        </w:tc>
        <w:tc>
          <w:tcPr>
            <w:tcW w:w="473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上级单位社会统一信用代码</w:t>
            </w:r>
          </w:p>
        </w:tc>
        <w:tc>
          <w:tcPr>
            <w:tcW w:w="8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备注</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51"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318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27"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732"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450" w:hRule="atLeast"/>
        </w:trPr>
        <w:tc>
          <w:tcPr>
            <w:tcW w:w="10881" w:type="dxa"/>
            <w:gridSpan w:val="9"/>
            <w:tcBorders>
              <w:top w:val="nil"/>
              <w:left w:val="nil"/>
              <w:bottom w:val="nil"/>
              <w:right w:val="nil"/>
            </w:tcBorders>
            <w:shd w:val="clear" w:color="auto" w:fill="auto"/>
            <w:noWrap/>
            <w:vAlign w:val="center"/>
          </w:tcPr>
          <w:p>
            <w:pPr>
              <w:widowControl/>
              <w:jc w:val="center"/>
              <w:rPr>
                <w:rFonts w:ascii="等线" w:hAnsi="等线" w:eastAsia="等线" w:cs="宋体"/>
                <w:color w:val="000000"/>
                <w:kern w:val="0"/>
                <w:sz w:val="36"/>
                <w:szCs w:val="36"/>
              </w:rPr>
            </w:pPr>
            <w:r>
              <w:rPr>
                <w:rFonts w:hint="eastAsia" w:ascii="等线" w:hAnsi="等线" w:eastAsia="等线" w:cs="宋体"/>
                <w:color w:val="000000"/>
                <w:kern w:val="0"/>
                <w:sz w:val="36"/>
                <w:szCs w:val="36"/>
              </w:rPr>
              <w:t>案例说明：资产月报编报单位基本信息表</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300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社会统一信用代码</w:t>
            </w:r>
          </w:p>
        </w:tc>
        <w:tc>
          <w:tcPr>
            <w:tcW w:w="2261"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单位名称</w:t>
            </w:r>
          </w:p>
        </w:tc>
        <w:tc>
          <w:tcPr>
            <w:tcW w:w="33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上级单位社会统一信用代码</w:t>
            </w:r>
          </w:p>
        </w:tc>
        <w:tc>
          <w:tcPr>
            <w:tcW w:w="168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10110101832084702K</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需要报送本级</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101101017048934766</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XX部二级单位A</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10110101832084702K</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需要报送本级</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10110101944834838N</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XX部三级单位A1</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101101017048934766</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101101019873642314</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XX部三级单位A2</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101101017048934766</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101101012645845640</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XX部二级单位B</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10110101832084702K</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#0110101561214009A</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XX部二级单位C</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10110101832084702K</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需要报送本级</w:t>
            </w:r>
          </w:p>
        </w:tc>
      </w:tr>
      <w:tr>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10110101896533255R</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XX部三级单位C1</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#0110101561214009A</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10110101665993246H</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XX部三级单位C2</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#0110101561214009A</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gridBefore w:val="1"/>
          <w:gridAfter w:val="1"/>
          <w:wBefore w:w="6" w:type="dxa"/>
          <w:wAfter w:w="353" w:type="dxa"/>
          <w:trHeight w:val="270" w:hRule="atLeast"/>
        </w:trPr>
        <w:tc>
          <w:tcPr>
            <w:tcW w:w="5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3005"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2261" w:type="dxa"/>
            <w:gridSpan w:val="3"/>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339"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88"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jc w:val="left"/>
        <w:rPr>
          <w:rFonts w:ascii="等线" w:hAnsi="等线" w:eastAsia="等线" w:cs="宋体"/>
          <w:color w:val="000000"/>
          <w:kern w:val="0"/>
          <w:sz w:val="22"/>
          <w:szCs w:val="22"/>
        </w:rPr>
      </w:pPr>
    </w:p>
    <w:p>
      <w:pPr>
        <w:spacing w:line="400" w:lineRule="exact"/>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说明：1、按照实际情况整理并填写月报编报范围内的单位基本信息，社会统一信用代码为18位，位数不足将被标红色；</w:t>
      </w:r>
    </w:p>
    <w:p>
      <w:pPr>
        <w:widowControl/>
        <w:spacing w:line="400" w:lineRule="exact"/>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2、没有社会统一信息代码的单位，可以自编代码，为了避免重复，自编代码采用“#0”+“6位行政区划代码”+“8位电话号码”+“2位校验码”组成；</w:t>
      </w:r>
    </w:p>
    <w:p>
      <w:pPr>
        <w:widowControl/>
        <w:spacing w:line="400" w:lineRule="exact"/>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3、社会统一信用代码不能重复，重复的将会被标记黄色；</w:t>
      </w:r>
    </w:p>
    <w:p>
      <w:pPr>
        <w:widowControl/>
        <w:spacing w:line="400" w:lineRule="exact"/>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4、对于还需要报送“本级”的单位，在备注栏中标注“需要报送本级”；未做任何备注，则默认所有管理单位都需要报送“本级”报表；</w:t>
      </w:r>
    </w:p>
    <w:p>
      <w:pPr>
        <w:widowControl/>
        <w:jc w:val="left"/>
        <w:rPr>
          <w:rFonts w:ascii="方正仿宋简体" w:hAnsi="方正仿宋简体" w:eastAsia="方正仿宋简体" w:cs="方正仿宋简体"/>
          <w:sz w:val="26"/>
          <w:szCs w:val="26"/>
        </w:rPr>
      </w:pPr>
    </w:p>
    <w:tbl>
      <w:tblPr>
        <w:tblStyle w:val="14"/>
        <w:tblW w:w="9340" w:type="dxa"/>
        <w:tblInd w:w="93" w:type="dxa"/>
        <w:tblLayout w:type="autofit"/>
        <w:tblCellMar>
          <w:top w:w="0" w:type="dxa"/>
          <w:left w:w="108" w:type="dxa"/>
          <w:bottom w:w="0" w:type="dxa"/>
          <w:right w:w="108" w:type="dxa"/>
        </w:tblCellMar>
      </w:tblPr>
      <w:tblGrid>
        <w:gridCol w:w="1560"/>
        <w:gridCol w:w="1960"/>
        <w:gridCol w:w="1560"/>
        <w:gridCol w:w="1200"/>
        <w:gridCol w:w="3060"/>
      </w:tblGrid>
      <w:tr>
        <w:tblPrEx>
          <w:tblCellMar>
            <w:top w:w="0" w:type="dxa"/>
            <w:left w:w="108" w:type="dxa"/>
            <w:bottom w:w="0" w:type="dxa"/>
            <w:right w:w="108" w:type="dxa"/>
          </w:tblCellMar>
        </w:tblPrEx>
        <w:trPr>
          <w:trHeight w:val="375" w:hRule="atLeast"/>
        </w:trPr>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自编代码前缀</w:t>
            </w:r>
          </w:p>
        </w:tc>
        <w:tc>
          <w:tcPr>
            <w:tcW w:w="1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6位行政区划代码</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8位电话号码</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2位校验码</w:t>
            </w:r>
          </w:p>
        </w:tc>
        <w:tc>
          <w:tcPr>
            <w:tcW w:w="30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完整自编代码</w:t>
            </w:r>
          </w:p>
        </w:tc>
      </w:tr>
      <w:tr>
        <w:tblPrEx>
          <w:tblCellMar>
            <w:top w:w="0" w:type="dxa"/>
            <w:left w:w="108" w:type="dxa"/>
            <w:bottom w:w="0" w:type="dxa"/>
            <w:right w:w="108" w:type="dxa"/>
          </w:tblCellMar>
        </w:tblPrEx>
        <w:trPr>
          <w:trHeight w:val="390" w:hRule="atLeast"/>
        </w:trPr>
        <w:tc>
          <w:tcPr>
            <w:tcW w:w="1560" w:type="dxa"/>
            <w:tcBorders>
              <w:top w:val="nil"/>
              <w:left w:val="single" w:color="auto" w:sz="4" w:space="0"/>
              <w:bottom w:val="single" w:color="auto" w:sz="4" w:space="0"/>
              <w:right w:val="single" w:color="auto" w:sz="4" w:space="0"/>
            </w:tcBorders>
            <w:shd w:val="clear" w:color="000000" w:fill="C5E0B2"/>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w:t>
            </w:r>
          </w:p>
        </w:tc>
        <w:tc>
          <w:tcPr>
            <w:tcW w:w="196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120102</w:t>
            </w:r>
          </w:p>
        </w:tc>
        <w:tc>
          <w:tcPr>
            <w:tcW w:w="1560" w:type="dxa"/>
            <w:tcBorders>
              <w:top w:val="nil"/>
              <w:left w:val="nil"/>
              <w:bottom w:val="single" w:color="auto" w:sz="4" w:space="0"/>
              <w:right w:val="single" w:color="auto" w:sz="4" w:space="0"/>
            </w:tcBorders>
            <w:shd w:val="clear" w:color="auto" w:fill="auto"/>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56123392</w:t>
            </w:r>
          </w:p>
        </w:tc>
        <w:tc>
          <w:tcPr>
            <w:tcW w:w="1200" w:type="dxa"/>
            <w:tcBorders>
              <w:top w:val="nil"/>
              <w:left w:val="nil"/>
              <w:bottom w:val="single" w:color="auto" w:sz="4" w:space="0"/>
              <w:right w:val="single" w:color="auto" w:sz="4" w:space="0"/>
            </w:tcBorders>
            <w:shd w:val="clear" w:color="000000" w:fill="C5E0B2"/>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0E</w:t>
            </w:r>
          </w:p>
        </w:tc>
        <w:tc>
          <w:tcPr>
            <w:tcW w:w="3060" w:type="dxa"/>
            <w:tcBorders>
              <w:top w:val="nil"/>
              <w:left w:val="nil"/>
              <w:bottom w:val="single" w:color="auto" w:sz="4" w:space="0"/>
              <w:right w:val="single" w:color="auto" w:sz="4" w:space="0"/>
            </w:tcBorders>
            <w:shd w:val="clear" w:color="000000" w:fill="C5E0B2"/>
            <w:noWrap/>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#0120102561233920E</w:t>
            </w:r>
          </w:p>
        </w:tc>
      </w:tr>
    </w:tbl>
    <w:p>
      <w:pPr>
        <w:spacing w:line="400" w:lineRule="exact"/>
        <w:ind w:firstLine="520" w:firstLineChars="200"/>
        <w:jc w:val="left"/>
        <w:rPr>
          <w:rFonts w:ascii="方正仿宋简体" w:hAnsi="方正仿宋简体" w:eastAsia="方正仿宋简体" w:cs="方正仿宋简体"/>
          <w:sz w:val="26"/>
          <w:szCs w:val="26"/>
        </w:rPr>
      </w:pP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注：绿色单元格自动生成，不能填写。</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eastAsia="方正小标宋简体"/>
          <w:b/>
          <w:sz w:val="40"/>
          <w:szCs w:val="40"/>
        </w:rPr>
      </w:pPr>
      <w:r>
        <w:rPr>
          <w:rFonts w:hint="eastAsia" w:ascii="方正小标宋简体" w:eastAsia="方正小标宋简体"/>
          <w:b/>
          <w:sz w:val="40"/>
          <w:szCs w:val="40"/>
        </w:rPr>
        <w:t>山东省财政厅文件</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鲁财资 2019  2 号</w:t>
      </w:r>
    </w:p>
    <w:p>
      <w:pPr>
        <w:spacing w:line="400" w:lineRule="exact"/>
        <w:jc w:val="center"/>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关于试编行政事业性国有资产月报有关问题的通知</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各市财政局，黄河三角洲农业高新技术产业示范区财政金融局，省直各部门、单位: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根据《财政部关于做好行政事业性国有资产月报试编工作的 通知》(财资 2018 109 号)(以下简称《通知》)要求，从 2019 年 2 月起开展行政事业性国有资产月报(以下简称资产月报)试 编工作，现将有关事项通知如下: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一、充分认识开展资产月报工作的重要意义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试编资产月报是落实政府向本级人大常委会报告国有资产管理情况制度的工作需要，有利于进一步加强行政事业性国有资 产管理，动态了解国有资产变动情况，及时发现并有针对性地解 决问题，夯实行政事业性国有资产报告数据基础。各级各部门要 切实提高认识，周密部署实施，指导行政事业单位建立资产部门 和财务部门密切协作机制，确定填报、审核流程，明确工作职责， 加强沟通协调，确保按时保质报送资产月报。单位主要负责人作 为资产月报第一责任人，要亲自抓落实，明确牵头部门，落实专 人负责此项工作。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二、编报范围和内容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(一)编报范围。经机构编制管理部门批准成立的，执行政 府会计制度的各级各类行政事业单位、社会团体;占有、使用国 有资产，执行民间非营利组织会计制度的社会团体等单位。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(二)编报内容。资产月报包括报表封面、资产情况单户表、 资产情况汇总表和地方资产分布情况表(附件 1):</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1.报表封面由各行政事业单位根据单位实际情况填列，反映 单位性质、执行会计制度、预算管理级次等基本情况。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2.资产情况单户表由各行政事业单位依据月末财务资产账 面数进行填报，反映单位资产、负债、净资产以及重点关注资产 的情况。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3.资产情况汇总表由省直部门(单位)、各市财政局根据单 位资产月报数据汇总形成，反映本部门、本地区资产、负债、净 资产以及重点关注资产的总体情况。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4.地方资产分布情况表由各市财政局汇总生成，反映本地区 行政事业单位国有资产分布情况。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三、报送方法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(一)报送时间。从 2019 年 2 月起，省直部门(单位)、各 市财政局每月 9 日(遇节假日顺延)前将上月资产月报报送省财 政厅。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(二)报送内容。省直部门(单位)报送本部门资产情况汇 总表以及所属单位资产月报单户表;各市财政局报送本市资产情 况汇总表和地方资产分布情况表。同时，省直部门(单位)和各 市财政局完成资产月报数据审核后，将经相关负责人签字确认的 《资产月报复核确认表》(附件 2)，以附件形式同时报送。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(三)报送方式。资产月报采用电子数据报送方式，省直部 门(单位)及各市财政局统一通过省财政厅部署的山东省行政事业 性国有资产月报报表系统(http://117.73.252.91:8081/ZCYB) 报送。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四、编报要求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(一)加强审核，提高数据质量。省直各部门(单位)、各 市财政局要加强对本部门、本地区资产月报的审核力度，强化动 态监管。对重大数据变动，特别是因单位户数变动、核算方法调 整等导致的数据变化，应及时说明情况并提供相关材料。为保证 数据的全面性和真实性，各市财政局要逐级汇总本市资产月报数 据，不能代为填报资产月报数据。省财政厅将视情况对月报工作进行考核通报。 (二)严格保密，确保信息安全。按照“谁产生信息，谁确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定密级”的原则，由报送主体确定所报送信息是否涉密。凡单位 认定或按国家有关规定认定为涉密的信息，不得通过网上报送， 应当通过光盘等介质进行离线报送，并准确标注报送介质的密 级。涉密省直部门(单位)仅需要报送汇总表和复核确认表，不 再报送全级次资产月报数据。各市财政局要注重信息安全，对地 方涉密部门数据的收集、利用和存储要符合保密规定。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(三)及时整改，夯实数据基础。省直部门(单位)、各市 财政局应加强资产月报数据的对比和分析，重点关注货币资金占 比、在建工程转固和资产核算规范性等方面存在的问题，发现问 题要立即整改，研究出台针对性强、切实有效的政策措施，堵塞 管理漏洞，夯实行政事业性国有资产报告基础，提升资产管理水 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(一)单位信息设置。省财政厅将在资产月报系统为省直部 门初始填报单位和密码信息，请各省直部门对照资产月报编报范 围，及时登录资产月报系统，认真梳理本部门应纳入填报范围的 单位，并按要求填写《资产月报编报单位基本信息表》(附件 3)， 于 2019 年 1 月 31 日前以电子邮件方式报送省财政厅资产管理处。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(二)联系机制。为便于工作联系，请各省直部门和各市财 政局按要求填写《资产月报负责人和经办人通讯表》(附件 4)，</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于 2019 年 1 月 31 日前以电子邮件方式报送省财政厅资产管理处。 联系人及联系方式: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省财政厅资产管理处 张云霞 0531-82669841; 技术支持(省直单位) 王 塬 0531-82669844; 技术支持 0531-89701725/1726/1708/1703; 电子邮箱:zcc0609@163.com。</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附件:1.行政事业性国有资产月报 2.资产月报复核确认表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3.资产月报编报单位基本信息表 4.资产月报负责人和经办人通讯表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山东省财政厅 2019 年 1 月 18 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信息公开选项: 主动公开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山东省财政厅办公室 2019 年 1 月 18 日印发</w:t>
      </w:r>
    </w:p>
    <w:p>
      <w:pPr>
        <w:spacing w:line="400" w:lineRule="exact"/>
        <w:ind w:firstLine="520" w:firstLineChars="200"/>
        <w:jc w:val="left"/>
        <w:rPr>
          <w:rFonts w:ascii="方正仿宋简体" w:hAnsi="方正仿宋简体" w:eastAsia="方正仿宋简体" w:cs="方正仿宋简体"/>
          <w:color w:val="FF0000"/>
          <w:sz w:val="26"/>
          <w:szCs w:val="26"/>
        </w:rPr>
      </w:pPr>
      <w:r>
        <w:rPr>
          <w:rFonts w:hint="eastAsia" w:ascii="方正仿宋简体" w:hAnsi="方正仿宋简体" w:eastAsia="方正仿宋简体" w:cs="方正仿宋简体"/>
          <w:sz w:val="26"/>
          <w:szCs w:val="26"/>
        </w:rPr>
        <w:t>6.山东省财政厅关于做好 2020 年度全省行政事业性国有资产报告和产权登记工作的通知鲁财资 [2021] 1号</w:t>
      </w:r>
    </w:p>
    <w:p>
      <w:pPr>
        <w:spacing w:line="1500" w:lineRule="exact"/>
        <w:jc w:val="center"/>
        <w:rPr>
          <w:rFonts w:ascii="方正小标宋简体" w:hAnsi="Times New Roman" w:eastAsia="方正小标宋简体" w:cs="Times New Roman"/>
          <w:spacing w:val="20"/>
          <w:w w:val="66"/>
          <w:sz w:val="140"/>
          <w:szCs w:val="140"/>
        </w:rPr>
      </w:pPr>
    </w:p>
    <w:p>
      <w:pPr>
        <w:spacing w:line="1500" w:lineRule="exact"/>
        <w:jc w:val="center"/>
        <w:rPr>
          <w:rFonts w:ascii="方正小标宋简体" w:hAnsi="Times New Roman" w:eastAsia="方正小标宋简体" w:cs="Times New Roman"/>
          <w:spacing w:val="20"/>
          <w:w w:val="66"/>
          <w:sz w:val="140"/>
          <w:szCs w:val="140"/>
        </w:rPr>
      </w:pPr>
    </w:p>
    <w:p>
      <w:pPr>
        <w:spacing w:line="1500" w:lineRule="exact"/>
        <w:jc w:val="center"/>
        <w:rPr>
          <w:rFonts w:ascii="方正小标宋简体" w:hAnsi="Times New Roman" w:eastAsia="方正小标宋简体" w:cs="Times New Roman"/>
          <w:spacing w:val="20"/>
          <w:w w:val="66"/>
          <w:sz w:val="140"/>
          <w:szCs w:val="140"/>
        </w:rPr>
      </w:pPr>
    </w:p>
    <w:p>
      <w:pPr>
        <w:spacing w:line="1500" w:lineRule="exact"/>
        <w:jc w:val="center"/>
        <w:rPr>
          <w:rFonts w:ascii="方正小标宋简体" w:hAnsi="Times New Roman" w:eastAsia="方正小标宋简体" w:cs="Times New Roman"/>
          <w:spacing w:val="20"/>
          <w:w w:val="66"/>
          <w:sz w:val="140"/>
          <w:szCs w:val="140"/>
        </w:rPr>
      </w:pPr>
    </w:p>
    <w:p>
      <w:pPr>
        <w:spacing w:line="1500" w:lineRule="exact"/>
        <w:jc w:val="center"/>
        <w:rPr>
          <w:rFonts w:ascii="方正小标宋简体" w:hAnsi="Times New Roman" w:eastAsia="方正小标宋简体" w:cs="Times New Roman"/>
          <w:spacing w:val="20"/>
          <w:w w:val="66"/>
          <w:sz w:val="140"/>
          <w:szCs w:val="140"/>
        </w:rPr>
      </w:pPr>
    </w:p>
    <w:p>
      <w:pPr>
        <w:jc w:val="left"/>
        <w:rPr>
          <w:rFonts w:eastAsia="宋体"/>
        </w:rPr>
      </w:pPr>
      <w:r>
        <w:rPr>
          <w:rFonts w:hint="eastAsia" w:eastAsia="宋体"/>
        </w:rPr>
        <w:drawing>
          <wp:inline distT="0" distB="0" distL="0" distR="0">
            <wp:extent cx="7505700" cy="10687050"/>
            <wp:effectExtent l="1905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rrowheads="1"/>
                    </pic:cNvPicPr>
                  </pic:nvPicPr>
                  <pic:blipFill>
                    <a:blip r:embed="rId20" cstate="print"/>
                    <a:srcRect/>
                    <a:stretch>
                      <a:fillRect/>
                    </a:stretch>
                  </pic:blipFill>
                  <pic:spPr>
                    <a:xfrm>
                      <a:off x="0" y="0"/>
                      <a:ext cx="7505700" cy="1068705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7562850" cy="10687050"/>
            <wp:effectExtent l="19050" t="0" r="0" b="0"/>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a:picLocks noChangeArrowheads="1"/>
                    </pic:cNvPicPr>
                  </pic:nvPicPr>
                  <pic:blipFill>
                    <a:blip r:embed="rId21" cstate="print"/>
                    <a:srcRect/>
                    <a:stretch>
                      <a:fillRect/>
                    </a:stretch>
                  </pic:blipFill>
                  <pic:spPr>
                    <a:xfrm>
                      <a:off x="0" y="0"/>
                      <a:ext cx="7562850" cy="1068705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7562850" cy="10706100"/>
            <wp:effectExtent l="19050" t="0" r="0" b="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a:picLocks noChangeArrowheads="1"/>
                    </pic:cNvPicPr>
                  </pic:nvPicPr>
                  <pic:blipFill>
                    <a:blip r:embed="rId22" cstate="print"/>
                    <a:srcRect/>
                    <a:stretch>
                      <a:fillRect/>
                    </a:stretch>
                  </pic:blipFill>
                  <pic:spPr>
                    <a:xfrm>
                      <a:off x="0" y="0"/>
                      <a:ext cx="7562850" cy="1070610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7562850" cy="10687050"/>
            <wp:effectExtent l="19050" t="0" r="0" b="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a:picLocks noChangeArrowheads="1"/>
                    </pic:cNvPicPr>
                  </pic:nvPicPr>
                  <pic:blipFill>
                    <a:blip r:embed="rId23" cstate="print"/>
                    <a:srcRect/>
                    <a:stretch>
                      <a:fillRect/>
                    </a:stretch>
                  </pic:blipFill>
                  <pic:spPr>
                    <a:xfrm>
                      <a:off x="0" y="0"/>
                      <a:ext cx="7562850" cy="1068705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7562850" cy="10687050"/>
            <wp:effectExtent l="19050" t="0" r="0" b="0"/>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a:picLocks noChangeArrowheads="1"/>
                    </pic:cNvPicPr>
                  </pic:nvPicPr>
                  <pic:blipFill>
                    <a:blip r:embed="rId24" cstate="print"/>
                    <a:srcRect/>
                    <a:stretch>
                      <a:fillRect/>
                    </a:stretch>
                  </pic:blipFill>
                  <pic:spPr>
                    <a:xfrm>
                      <a:off x="0" y="0"/>
                      <a:ext cx="7562850" cy="10687050"/>
                    </a:xfrm>
                    <a:prstGeom prst="rect">
                      <a:avLst/>
                    </a:prstGeom>
                    <a:noFill/>
                    <a:ln w="9525" cmpd="sng">
                      <a:noFill/>
                      <a:miter lim="800000"/>
                      <a:headEnd/>
                      <a:tailEnd/>
                    </a:ln>
                  </pic:spPr>
                </pic:pic>
              </a:graphicData>
            </a:graphic>
          </wp:inline>
        </w:drawing>
      </w:r>
    </w:p>
    <w:tbl>
      <w:tblPr>
        <w:tblStyle w:val="14"/>
        <w:tblW w:w="23460" w:type="dxa"/>
        <w:tblInd w:w="78" w:type="dxa"/>
        <w:tblLayout w:type="autofit"/>
        <w:tblCellMar>
          <w:top w:w="0" w:type="dxa"/>
          <w:left w:w="108" w:type="dxa"/>
          <w:bottom w:w="0" w:type="dxa"/>
          <w:right w:w="108" w:type="dxa"/>
        </w:tblCellMar>
      </w:tblPr>
      <w:tblGrid>
        <w:gridCol w:w="6304"/>
        <w:gridCol w:w="610"/>
        <w:gridCol w:w="2019"/>
        <w:gridCol w:w="2019"/>
        <w:gridCol w:w="5230"/>
        <w:gridCol w:w="2280"/>
        <w:gridCol w:w="2499"/>
        <w:gridCol w:w="2499"/>
      </w:tblGrid>
      <w:tr>
        <w:tblPrEx>
          <w:tblCellMar>
            <w:top w:w="0" w:type="dxa"/>
            <w:left w:w="108" w:type="dxa"/>
            <w:bottom w:w="0" w:type="dxa"/>
            <w:right w:w="108" w:type="dxa"/>
          </w:tblCellMar>
        </w:tblPrEx>
        <w:trPr>
          <w:trHeight w:val="765" w:hRule="atLeast"/>
        </w:trPr>
        <w:tc>
          <w:tcPr>
            <w:tcW w:w="23460" w:type="dxa"/>
            <w:gridSpan w:val="8"/>
            <w:tcBorders>
              <w:top w:val="nil"/>
              <w:left w:val="nil"/>
              <w:bottom w:val="nil"/>
              <w:right w:val="nil"/>
            </w:tcBorders>
            <w:shd w:val="clear" w:color="auto" w:fill="auto"/>
            <w:noWrap/>
            <w:vAlign w:val="bottom"/>
          </w:tcPr>
          <w:p>
            <w:pPr>
              <w:widowControl/>
              <w:jc w:val="center"/>
              <w:rPr>
                <w:rFonts w:ascii="方正小标宋简体" w:hAnsi="宋体" w:eastAsia="方正小标宋简体" w:cs="宋体"/>
                <w:color w:val="000000"/>
                <w:kern w:val="0"/>
                <w:sz w:val="48"/>
                <w:szCs w:val="48"/>
              </w:rPr>
            </w:pPr>
            <w:r>
              <w:rPr>
                <w:rFonts w:hint="eastAsia" w:ascii="方正小标宋简体" w:hAnsi="宋体" w:eastAsia="方正小标宋简体" w:cs="宋体"/>
                <w:color w:val="000000"/>
                <w:kern w:val="0"/>
                <w:sz w:val="48"/>
                <w:szCs w:val="48"/>
              </w:rPr>
              <w:t>资产情况表</w:t>
            </w:r>
          </w:p>
        </w:tc>
      </w:tr>
      <w:tr>
        <w:tblPrEx>
          <w:tblCellMar>
            <w:top w:w="0" w:type="dxa"/>
            <w:left w:w="108" w:type="dxa"/>
            <w:bottom w:w="0" w:type="dxa"/>
            <w:right w:w="108" w:type="dxa"/>
          </w:tblCellMar>
        </w:tblPrEx>
        <w:trPr>
          <w:trHeight w:val="285" w:hRule="atLeast"/>
        </w:trPr>
        <w:tc>
          <w:tcPr>
            <w:tcW w:w="6304"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2"/>
                <w:szCs w:val="22"/>
              </w:rPr>
            </w:pPr>
          </w:p>
        </w:tc>
        <w:tc>
          <w:tcPr>
            <w:tcW w:w="610" w:type="dxa"/>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szCs w:val="22"/>
              </w:rPr>
            </w:pPr>
          </w:p>
        </w:tc>
        <w:tc>
          <w:tcPr>
            <w:tcW w:w="2019"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2"/>
                <w:szCs w:val="22"/>
              </w:rPr>
            </w:pPr>
          </w:p>
        </w:tc>
        <w:tc>
          <w:tcPr>
            <w:tcW w:w="2019" w:type="dxa"/>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szCs w:val="22"/>
              </w:rPr>
            </w:pPr>
          </w:p>
        </w:tc>
        <w:tc>
          <w:tcPr>
            <w:tcW w:w="5230" w:type="dxa"/>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szCs w:val="22"/>
              </w:rPr>
            </w:pPr>
          </w:p>
        </w:tc>
        <w:tc>
          <w:tcPr>
            <w:tcW w:w="2280" w:type="dxa"/>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szCs w:val="22"/>
              </w:rPr>
            </w:pPr>
          </w:p>
        </w:tc>
        <w:tc>
          <w:tcPr>
            <w:tcW w:w="4998" w:type="dxa"/>
            <w:gridSpan w:val="2"/>
            <w:tcBorders>
              <w:top w:val="nil"/>
              <w:left w:val="nil"/>
              <w:bottom w:val="nil"/>
              <w:right w:val="nil"/>
            </w:tcBorders>
            <w:shd w:val="clear" w:color="auto" w:fill="auto"/>
            <w:noWrap/>
            <w:vAlign w:val="bottom"/>
          </w:tcPr>
          <w:p>
            <w:pPr>
              <w:widowControl/>
              <w:jc w:val="right"/>
              <w:rPr>
                <w:rFonts w:ascii="Times New Roman" w:hAnsi="Times New Roman" w:eastAsia="宋体" w:cs="Times New Roman"/>
                <w:color w:val="000000"/>
                <w:kern w:val="0"/>
                <w:sz w:val="22"/>
                <w:szCs w:val="22"/>
              </w:rPr>
            </w:pPr>
          </w:p>
        </w:tc>
      </w:tr>
      <w:tr>
        <w:tblPrEx>
          <w:tblCellMar>
            <w:top w:w="0" w:type="dxa"/>
            <w:left w:w="108" w:type="dxa"/>
            <w:bottom w:w="0" w:type="dxa"/>
            <w:right w:w="108" w:type="dxa"/>
          </w:tblCellMar>
        </w:tblPrEx>
        <w:trPr>
          <w:trHeight w:val="270" w:hRule="atLeast"/>
        </w:trPr>
        <w:tc>
          <w:tcPr>
            <w:tcW w:w="6304" w:type="dxa"/>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编制单位：</w:t>
            </w:r>
          </w:p>
        </w:tc>
        <w:tc>
          <w:tcPr>
            <w:tcW w:w="610" w:type="dxa"/>
            <w:tcBorders>
              <w:top w:val="nil"/>
              <w:left w:val="nil"/>
              <w:bottom w:val="nil"/>
              <w:right w:val="nil"/>
            </w:tcBorders>
            <w:shd w:val="clear" w:color="auto" w:fill="auto"/>
            <w:noWrap/>
            <w:vAlign w:val="bottom"/>
          </w:tcPr>
          <w:p>
            <w:pPr>
              <w:widowControl/>
              <w:jc w:val="center"/>
              <w:rPr>
                <w:rFonts w:ascii="宋体" w:hAnsi="宋体" w:eastAsia="宋体" w:cs="宋体"/>
                <w:kern w:val="0"/>
                <w:sz w:val="22"/>
                <w:szCs w:val="22"/>
              </w:rPr>
            </w:pPr>
          </w:p>
        </w:tc>
        <w:tc>
          <w:tcPr>
            <w:tcW w:w="2019" w:type="dxa"/>
            <w:tcBorders>
              <w:top w:val="nil"/>
              <w:left w:val="nil"/>
              <w:bottom w:val="single" w:color="000000" w:sz="4" w:space="0"/>
              <w:right w:val="nil"/>
            </w:tcBorders>
            <w:shd w:val="clear" w:color="auto" w:fill="auto"/>
            <w:noWrap/>
            <w:vAlign w:val="bottom"/>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2019" w:type="dxa"/>
            <w:tcBorders>
              <w:top w:val="nil"/>
              <w:left w:val="nil"/>
              <w:bottom w:val="single" w:color="000000" w:sz="4" w:space="0"/>
              <w:right w:val="nil"/>
            </w:tcBorders>
            <w:shd w:val="clear" w:color="auto" w:fill="auto"/>
            <w:noWrap/>
            <w:vAlign w:val="bottom"/>
          </w:tcPr>
          <w:p>
            <w:pPr>
              <w:widowControl/>
              <w:jc w:val="left"/>
              <w:rPr>
                <w:rFonts w:ascii="宋体" w:hAnsi="宋体" w:eastAsia="宋体" w:cs="宋体"/>
                <w:kern w:val="0"/>
                <w:sz w:val="22"/>
                <w:szCs w:val="22"/>
              </w:rPr>
            </w:pPr>
            <w:r>
              <w:rPr>
                <w:rFonts w:hint="eastAsia" w:ascii="宋体" w:hAnsi="宋体" w:eastAsia="宋体" w:cs="宋体"/>
                <w:kern w:val="0"/>
                <w:sz w:val="22"/>
                <w:szCs w:val="22"/>
              </w:rPr>
              <w:t>　</w:t>
            </w:r>
          </w:p>
        </w:tc>
        <w:tc>
          <w:tcPr>
            <w:tcW w:w="5230"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2"/>
                <w:szCs w:val="22"/>
              </w:rPr>
            </w:pPr>
          </w:p>
        </w:tc>
        <w:tc>
          <w:tcPr>
            <w:tcW w:w="2280" w:type="dxa"/>
            <w:tcBorders>
              <w:top w:val="nil"/>
              <w:left w:val="nil"/>
              <w:bottom w:val="nil"/>
              <w:right w:val="nil"/>
            </w:tcBorders>
            <w:shd w:val="clear" w:color="auto" w:fill="auto"/>
            <w:noWrap/>
            <w:vAlign w:val="bottom"/>
          </w:tcPr>
          <w:p>
            <w:pPr>
              <w:widowControl/>
              <w:jc w:val="center"/>
              <w:rPr>
                <w:rFonts w:ascii="宋体" w:hAnsi="宋体" w:eastAsia="宋体" w:cs="宋体"/>
                <w:kern w:val="0"/>
                <w:sz w:val="22"/>
                <w:szCs w:val="22"/>
              </w:rPr>
            </w:pPr>
          </w:p>
        </w:tc>
        <w:tc>
          <w:tcPr>
            <w:tcW w:w="2499"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2"/>
                <w:szCs w:val="22"/>
              </w:rPr>
            </w:pPr>
          </w:p>
        </w:tc>
        <w:tc>
          <w:tcPr>
            <w:tcW w:w="2499" w:type="dxa"/>
            <w:tcBorders>
              <w:top w:val="nil"/>
              <w:left w:val="nil"/>
              <w:bottom w:val="single" w:color="000000" w:sz="4" w:space="0"/>
              <w:right w:val="nil"/>
            </w:tcBorders>
            <w:shd w:val="clear" w:color="auto" w:fill="auto"/>
            <w:noWrap/>
            <w:vAlign w:val="bottom"/>
          </w:tcPr>
          <w:p>
            <w:pPr>
              <w:widowControl/>
              <w:jc w:val="right"/>
              <w:rPr>
                <w:rFonts w:ascii="宋体" w:hAnsi="宋体" w:eastAsia="宋体" w:cs="宋体"/>
                <w:kern w:val="0"/>
                <w:sz w:val="22"/>
                <w:szCs w:val="22"/>
              </w:rPr>
            </w:pPr>
            <w:r>
              <w:rPr>
                <w:rFonts w:hint="eastAsia" w:ascii="宋体" w:hAnsi="宋体" w:eastAsia="宋体" w:cs="宋体"/>
                <w:kern w:val="0"/>
                <w:sz w:val="22"/>
                <w:szCs w:val="22"/>
              </w:rPr>
              <w:t>金额单位：元</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行政事业单位</w:t>
            </w:r>
          </w:p>
        </w:tc>
        <w:tc>
          <w:tcPr>
            <w:tcW w:w="610"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c>
          <w:tcPr>
            <w:tcW w:w="5230"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民间非营利组织</w:t>
            </w:r>
          </w:p>
        </w:tc>
        <w:tc>
          <w:tcPr>
            <w:tcW w:w="2280"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499" w:type="dxa"/>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r>
      <w:tr>
        <w:tblPrEx>
          <w:tblCellMar>
            <w:top w:w="0" w:type="dxa"/>
            <w:left w:w="108" w:type="dxa"/>
            <w:bottom w:w="0" w:type="dxa"/>
            <w:right w:w="108" w:type="dxa"/>
          </w:tblCellMar>
        </w:tblPrEx>
        <w:trPr>
          <w:trHeight w:val="285" w:hRule="atLeast"/>
        </w:trPr>
        <w:tc>
          <w:tcPr>
            <w:tcW w:w="69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7510" w:type="dxa"/>
            <w:gridSpan w:val="2"/>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一.资产合计</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一.资产合计</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42</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流动资产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流动资产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43</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其中：货币资金</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其中：货币资金</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44</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kern w:val="0"/>
                <w:sz w:val="22"/>
                <w:szCs w:val="22"/>
              </w:rPr>
            </w:pPr>
            <w:r>
              <w:rPr>
                <w:rFonts w:ascii="Times New Roman" w:hAnsi="Times New Roman" w:eastAsia="宋体" w:cs="Times New Roman"/>
                <w:kern w:val="0"/>
                <w:sz w:val="22"/>
                <w:szCs w:val="22"/>
              </w:rPr>
              <w:t>　　　　　　库存现金</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现金</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45</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kern w:val="0"/>
                <w:sz w:val="22"/>
                <w:szCs w:val="22"/>
              </w:rPr>
            </w:pPr>
            <w:r>
              <w:rPr>
                <w:rFonts w:ascii="Times New Roman" w:hAnsi="Times New Roman" w:eastAsia="宋体" w:cs="Times New Roman"/>
                <w:kern w:val="0"/>
                <w:sz w:val="22"/>
                <w:szCs w:val="22"/>
              </w:rPr>
              <w:t>　　　　　　银行存款</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银行存款</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46</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kern w:val="0"/>
                <w:sz w:val="22"/>
                <w:szCs w:val="22"/>
              </w:rPr>
            </w:pPr>
            <w:r>
              <w:rPr>
                <w:rFonts w:ascii="Times New Roman" w:hAnsi="Times New Roman" w:eastAsia="宋体" w:cs="Times New Roman"/>
                <w:kern w:val="0"/>
                <w:sz w:val="22"/>
                <w:szCs w:val="22"/>
              </w:rPr>
              <w:t>　　　　　　零余额账户用款额度</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47</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kern w:val="0"/>
                <w:sz w:val="22"/>
                <w:szCs w:val="22"/>
              </w:rPr>
            </w:pPr>
            <w:r>
              <w:rPr>
                <w:rFonts w:ascii="Times New Roman" w:hAnsi="Times New Roman" w:eastAsia="宋体" w:cs="Times New Roman"/>
                <w:kern w:val="0"/>
                <w:sz w:val="22"/>
                <w:szCs w:val="22"/>
              </w:rPr>
              <w:t>　　　　　　其他货币资金</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其他货币资金</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48</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非流动资产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000000" w:sz="4" w:space="0"/>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非流动资产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49</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长期股权投资</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长期投资</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50</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长期债券投资</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51</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固定资产原值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固定资产原值</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52</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减：固定资产累计折旧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减：固定资产累计折旧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53</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固定资产净值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固定资产净值</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54</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在建工程</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在建工程</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55</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其中：已使用未转固在建工程</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其中：已使用未转固在建工程</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56</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无形资产原值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无形资产原值</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57</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减：无形资产累计摊销</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减：无形资产累计摊销</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58</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无形资产净值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无形资产净值</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59</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研发支出</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60</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公共基础设施原值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61</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市政基础设施原值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62</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交通基础设施原值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63</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水利基础设施原值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64</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其他公共基础设施原值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65</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公共基础设施净值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000000" w:sz="4" w:space="0"/>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66</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市政基础设施净值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67</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交通基础设施净值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68</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水利基础设施净值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69</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auto" w:sz="4" w:space="0"/>
              <w:bottom w:val="single" w:color="auto" w:sz="4" w:space="0"/>
              <w:right w:val="single" w:color="auto" w:sz="4" w:space="0"/>
            </w:tcBorders>
            <w:shd w:val="clear" w:color="auto" w:fill="auto"/>
            <w:noWrap/>
            <w:vAlign w:val="bottom"/>
          </w:tcPr>
          <w:p>
            <w:pPr>
              <w:widowControl/>
              <w:ind w:firstLine="440" w:firstLineChars="200"/>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其他公共基础设施净值</w:t>
            </w:r>
          </w:p>
        </w:tc>
        <w:tc>
          <w:tcPr>
            <w:tcW w:w="61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w:t>
            </w:r>
          </w:p>
        </w:tc>
        <w:tc>
          <w:tcPr>
            <w:tcW w:w="2280"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70</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政府储备物资</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single" w:color="000000" w:sz="4" w:space="0"/>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71</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文物文化资产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文物文化资产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72</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保障性住房原值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73</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减：保障性住房累计折旧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74</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保障性住房净值</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34</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75</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其他非流动资产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35</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其他</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76</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委托代理资产</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36</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委托代理资产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77</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二.负债合计</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37</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二.负债合计</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78</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三.净资产合计</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38</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三.净资产</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79</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其中：累计盈余</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39</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80</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专用基金</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40</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81</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本期盈余</w:t>
            </w:r>
          </w:p>
        </w:tc>
        <w:tc>
          <w:tcPr>
            <w:tcW w:w="61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41</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bottom"/>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82</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285" w:hRule="atLeast"/>
        </w:trPr>
        <w:tc>
          <w:tcPr>
            <w:tcW w:w="23460" w:type="dxa"/>
            <w:gridSpan w:val="8"/>
            <w:tcBorders>
              <w:top w:val="single" w:color="auto" w:sz="4" w:space="0"/>
              <w:left w:val="single" w:color="auto" w:sz="4" w:space="0"/>
              <w:bottom w:val="single" w:color="auto" w:sz="4" w:space="0"/>
              <w:right w:val="nil"/>
            </w:tcBorders>
            <w:shd w:val="clear" w:color="000000" w:fill="BFBFBF"/>
            <w:noWrap/>
            <w:vAlign w:val="bottom"/>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资金结余情况</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行政事业单位</w:t>
            </w:r>
          </w:p>
        </w:tc>
        <w:tc>
          <w:tcPr>
            <w:tcW w:w="61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期末数</w:t>
            </w:r>
          </w:p>
        </w:tc>
        <w:tc>
          <w:tcPr>
            <w:tcW w:w="523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其中：非财政拨款结余</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83</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85</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 xml:space="preserve">                 </w:t>
            </w:r>
            <w:r>
              <w:rPr>
                <w:rFonts w:hint="eastAsia" w:ascii="宋体" w:hAnsi="宋体" w:eastAsia="宋体" w:cs="Times New Roman"/>
                <w:color w:val="000000"/>
                <w:kern w:val="0"/>
                <w:sz w:val="22"/>
                <w:szCs w:val="22"/>
              </w:rPr>
              <w:t>经营结余</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84</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86</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r>
      <w:tr>
        <w:tblPrEx>
          <w:tblCellMar>
            <w:top w:w="0" w:type="dxa"/>
            <w:left w:w="108" w:type="dxa"/>
            <w:bottom w:w="0" w:type="dxa"/>
            <w:right w:w="108" w:type="dxa"/>
          </w:tblCellMar>
        </w:tblPrEx>
        <w:trPr>
          <w:trHeight w:val="285" w:hRule="atLeast"/>
        </w:trPr>
        <w:tc>
          <w:tcPr>
            <w:tcW w:w="23460" w:type="dxa"/>
            <w:gridSpan w:val="8"/>
            <w:tcBorders>
              <w:top w:val="single" w:color="auto" w:sz="4" w:space="0"/>
              <w:left w:val="single" w:color="auto" w:sz="4" w:space="0"/>
              <w:bottom w:val="single" w:color="auto" w:sz="4" w:space="0"/>
              <w:right w:val="nil"/>
            </w:tcBorders>
            <w:shd w:val="clear" w:color="000000" w:fill="BFBFBF"/>
            <w:noWrap/>
            <w:vAlign w:val="bottom"/>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资产处置情况</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行政事业单位</w:t>
            </w:r>
          </w:p>
        </w:tc>
        <w:tc>
          <w:tcPr>
            <w:tcW w:w="61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原值</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净值</w:t>
            </w:r>
          </w:p>
        </w:tc>
        <w:tc>
          <w:tcPr>
            <w:tcW w:w="523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民间非营利组织</w:t>
            </w:r>
          </w:p>
        </w:tc>
        <w:tc>
          <w:tcPr>
            <w:tcW w:w="228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原值</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净值</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610"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2"/>
                <w:szCs w:val="22"/>
              </w:rPr>
            </w:pPr>
          </w:p>
        </w:tc>
        <w:tc>
          <w:tcPr>
            <w:tcW w:w="2019"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2280"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2"/>
                <w:szCs w:val="22"/>
              </w:rPr>
            </w:pPr>
          </w:p>
        </w:tc>
        <w:tc>
          <w:tcPr>
            <w:tcW w:w="2499"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处置资产的价值</w:t>
            </w:r>
          </w:p>
        </w:tc>
        <w:tc>
          <w:tcPr>
            <w:tcW w:w="61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87</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处置资产的价值</w:t>
            </w:r>
          </w:p>
        </w:tc>
        <w:tc>
          <w:tcPr>
            <w:tcW w:w="228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90</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调拨资产的价值</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88</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调拨资产的价值</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91</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资产处置收益</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89</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资产处置收益</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92</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23460" w:type="dxa"/>
            <w:gridSpan w:val="8"/>
            <w:tcBorders>
              <w:top w:val="single" w:color="auto" w:sz="4" w:space="0"/>
              <w:left w:val="single" w:color="auto" w:sz="4" w:space="0"/>
              <w:bottom w:val="single" w:color="auto" w:sz="4" w:space="0"/>
              <w:right w:val="nil"/>
            </w:tcBorders>
            <w:shd w:val="clear" w:color="000000" w:fill="BFBFBF"/>
            <w:noWrap/>
            <w:vAlign w:val="bottom"/>
          </w:tcPr>
          <w:p>
            <w:pPr>
              <w:widowControl/>
              <w:jc w:val="left"/>
              <w:rPr>
                <w:rFonts w:ascii="黑体" w:hAnsi="黑体" w:eastAsia="黑体" w:cs="宋体"/>
                <w:color w:val="000000"/>
                <w:kern w:val="0"/>
                <w:sz w:val="22"/>
                <w:szCs w:val="22"/>
              </w:rPr>
            </w:pPr>
            <w:r>
              <w:rPr>
                <w:rFonts w:hint="eastAsia" w:ascii="黑体" w:hAnsi="黑体" w:eastAsia="黑体" w:cs="宋体"/>
                <w:color w:val="000000"/>
                <w:kern w:val="0"/>
                <w:sz w:val="22"/>
                <w:szCs w:val="22"/>
              </w:rPr>
              <w:t>资产有偿使用情况</w:t>
            </w:r>
          </w:p>
        </w:tc>
      </w:tr>
      <w:tr>
        <w:tblPrEx>
          <w:tblCellMar>
            <w:top w:w="0" w:type="dxa"/>
            <w:left w:w="108" w:type="dxa"/>
            <w:bottom w:w="0" w:type="dxa"/>
            <w:right w:w="108" w:type="dxa"/>
          </w:tblCellMar>
        </w:tblPrEx>
        <w:trPr>
          <w:trHeight w:val="285" w:hRule="atLeast"/>
        </w:trPr>
        <w:tc>
          <w:tcPr>
            <w:tcW w:w="63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行政事业单位</w:t>
            </w:r>
          </w:p>
        </w:tc>
        <w:tc>
          <w:tcPr>
            <w:tcW w:w="61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原值</w:t>
            </w:r>
          </w:p>
        </w:tc>
        <w:tc>
          <w:tcPr>
            <w:tcW w:w="201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净值</w:t>
            </w:r>
          </w:p>
        </w:tc>
        <w:tc>
          <w:tcPr>
            <w:tcW w:w="523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民间非营利组织</w:t>
            </w:r>
          </w:p>
        </w:tc>
        <w:tc>
          <w:tcPr>
            <w:tcW w:w="2280"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行次</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原值</w:t>
            </w:r>
          </w:p>
        </w:tc>
        <w:tc>
          <w:tcPr>
            <w:tcW w:w="2499"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净值</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栏次</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出租出借资产的价值</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93</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出租出借资产的价值</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96</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资产出租出借收益</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94</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资产出租出借收益</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97</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304" w:type="dxa"/>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资产对外投资收益</w:t>
            </w:r>
          </w:p>
        </w:tc>
        <w:tc>
          <w:tcPr>
            <w:tcW w:w="61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95</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01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30" w:type="dxa"/>
            <w:tcBorders>
              <w:top w:val="nil"/>
              <w:left w:val="nil"/>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资产对外投资收益</w:t>
            </w:r>
          </w:p>
        </w:tc>
        <w:tc>
          <w:tcPr>
            <w:tcW w:w="2280"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98</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2499" w:type="dxa"/>
            <w:tcBorders>
              <w:top w:val="nil"/>
              <w:left w:val="nil"/>
              <w:bottom w:val="single" w:color="000000" w:sz="4" w:space="0"/>
              <w:right w:val="single" w:color="000000" w:sz="4" w:space="0"/>
            </w:tcBorders>
            <w:shd w:val="clear" w:color="auto" w:fill="auto"/>
            <w:noWrap/>
            <w:vAlign w:val="center"/>
          </w:tcPr>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spacing w:line="1500" w:lineRule="exact"/>
        <w:jc w:val="center"/>
        <w:rPr>
          <w:rFonts w:ascii="方正小标宋简体" w:hAnsi="Times New Roman" w:eastAsia="方正小标宋简体" w:cs="Times New Roman"/>
          <w:spacing w:val="20"/>
          <w:w w:val="66"/>
          <w:sz w:val="140"/>
          <w:szCs w:val="140"/>
        </w:rPr>
      </w:pPr>
    </w:p>
    <w:p>
      <w:pPr>
        <w:spacing w:line="1500" w:lineRule="exact"/>
        <w:jc w:val="center"/>
        <w:rPr>
          <w:rFonts w:ascii="方正小标宋简体" w:hAnsi="Times New Roman" w:eastAsia="方正小标宋简体" w:cs="Times New Roman"/>
          <w:spacing w:val="20"/>
          <w:w w:val="66"/>
          <w:sz w:val="140"/>
          <w:szCs w:val="140"/>
        </w:rPr>
      </w:pPr>
      <w:r>
        <w:rPr>
          <w:rFonts w:hint="eastAsia" w:ascii="方正小标宋简体" w:hAnsi="Times New Roman" w:eastAsia="方正小标宋简体" w:cs="Times New Roman"/>
          <w:spacing w:val="20"/>
          <w:w w:val="66"/>
          <w:sz w:val="140"/>
          <w:szCs w:val="140"/>
        </w:rPr>
        <w:t>山东省财政厅文件</w:t>
      </w:r>
    </w:p>
    <w:p>
      <w:pPr>
        <w:spacing w:line="600" w:lineRule="exact"/>
        <w:jc w:val="center"/>
        <w:rPr>
          <w:rFonts w:ascii="Times New Roman" w:hAnsi="Times New Roman" w:eastAsia="宋体" w:cs="Times New Roman"/>
          <w:sz w:val="32"/>
        </w:rPr>
      </w:pPr>
    </w:p>
    <w:p>
      <w:pPr>
        <w:spacing w:line="600" w:lineRule="exact"/>
        <w:jc w:val="center"/>
        <w:rPr>
          <w:rFonts w:ascii="Times New Roman" w:hAnsi="Times New Roman" w:eastAsia="仿宋_GB2312" w:cs="Times New Roman"/>
          <w:sz w:val="32"/>
        </w:rPr>
      </w:pPr>
    </w:p>
    <w:p>
      <w:pPr>
        <w:spacing w:line="600" w:lineRule="exact"/>
        <w:jc w:val="center"/>
        <w:rPr>
          <w:rFonts w:ascii="仿宋_GB2312" w:hAnsi="宋体" w:eastAsia="仿宋_GB2312" w:cs="Times New Roman"/>
          <w:sz w:val="32"/>
        </w:rPr>
      </w:pPr>
      <w:bookmarkStart w:id="12" w:name="FileNo"/>
      <w:r>
        <w:rPr>
          <w:rFonts w:hint="eastAsia" w:ascii="仿宋_GB2312" w:hAnsi="宋体" w:eastAsia="仿宋_GB2312" w:cs="Times New Roman"/>
          <w:sz w:val="32"/>
        </w:rPr>
        <w:t>鲁财资〔2021〕1号</w:t>
      </w:r>
      <w:bookmarkEnd w:id="12"/>
    </w:p>
    <w:p>
      <w:pPr>
        <w:spacing w:line="580" w:lineRule="exact"/>
        <w:jc w:val="center"/>
        <w:rPr>
          <w:rFonts w:ascii="宋体" w:hAnsi="宋体" w:eastAsia="仿宋_GB2312" w:cs="Times New Roman"/>
          <w:sz w:val="32"/>
        </w:rPr>
      </w:pPr>
      <w:r>
        <w:rPr>
          <w:rFonts w:ascii="宋体" w:hAnsi="宋体" w:eastAsia="仿宋_GB2312" w:cs="Times New Roman"/>
          <w:sz w:val="20"/>
        </w:rPr>
        <w:pict>
          <v:line id="_x0000_s1039" o:spid="_x0000_s1039" o:spt="20" style="position:absolute;left:0pt;margin-left:-5.25pt;margin-top:5.4pt;height:0pt;width:462pt;z-index:251682816;mso-width-relative:page;mso-height-relative:page;" coordsize="21600,21600" o:gfxdata="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4NK+NUAAAAJAQAADwAAAAAAAAABACAAAAAiAAAAZHJzL2Rvd25yZXYueG1sUEsB&#10;AhQAFAAAAAgAh07iQFhaLjX4AQAA5wMAAA4AAAAAAAAAAQAgAAAAJAEAAGRycy9lMm9Eb2MueG1s&#10;UEsFBgAAAAAGAAYAWQEAAI4FAAAAAA==&#10;">
            <v:path arrowok="t"/>
            <v:fill focussize="0,0"/>
            <v:stroke weight="2.25pt"/>
            <v:imagedata o:title=""/>
            <o:lock v:ext="edit"/>
          </v:line>
        </w:pict>
      </w:r>
    </w:p>
    <w:p>
      <w:pPr>
        <w:spacing w:line="580" w:lineRule="exact"/>
        <w:jc w:val="center"/>
        <w:rPr>
          <w:rFonts w:ascii="宋体" w:hAnsi="宋体" w:eastAsia="宋体" w:cs="Times New Roman"/>
          <w:sz w:val="32"/>
        </w:rPr>
      </w:pPr>
    </w:p>
    <w:p>
      <w:pPr>
        <w:spacing w:line="580" w:lineRule="exact"/>
        <w:jc w:val="center"/>
        <w:rPr>
          <w:rFonts w:ascii="方正小标宋简体" w:hAnsi="宋体" w:eastAsia="方正小标宋简体" w:cs="Times New Roman"/>
          <w:color w:val="000000"/>
          <w:sz w:val="44"/>
        </w:rPr>
      </w:pPr>
      <w:bookmarkStart w:id="13" w:name="Subject"/>
      <w:r>
        <w:rPr>
          <w:rFonts w:hint="eastAsia" w:ascii="方正小标宋简体" w:hAnsi="宋体" w:eastAsia="方正小标宋简体" w:cs="Times New Roman"/>
          <w:color w:val="000000"/>
          <w:sz w:val="44"/>
        </w:rPr>
        <w:t>山东省财政厅</w:t>
      </w:r>
    </w:p>
    <w:p>
      <w:pPr>
        <w:spacing w:line="580" w:lineRule="exact"/>
        <w:jc w:val="center"/>
        <w:rPr>
          <w:rFonts w:ascii="方正小标宋简体" w:hAnsi="宋体" w:eastAsia="方正小标宋简体" w:cs="Times New Roman"/>
          <w:color w:val="000000"/>
          <w:sz w:val="44"/>
        </w:rPr>
      </w:pPr>
      <w:r>
        <w:rPr>
          <w:rFonts w:hint="eastAsia" w:ascii="方正小标宋简体" w:hAnsi="宋体" w:eastAsia="方正小标宋简体" w:cs="Times New Roman"/>
          <w:color w:val="000000"/>
          <w:sz w:val="44"/>
        </w:rPr>
        <w:t>关于做好2020年度全省行政事业性</w:t>
      </w:r>
    </w:p>
    <w:p>
      <w:pPr>
        <w:spacing w:line="580" w:lineRule="exact"/>
        <w:jc w:val="center"/>
        <w:rPr>
          <w:rFonts w:ascii="方正小标宋简体" w:hAnsi="宋体" w:eastAsia="方正小标宋简体" w:cs="Times New Roman"/>
          <w:color w:val="000000"/>
          <w:sz w:val="44"/>
        </w:rPr>
      </w:pPr>
      <w:r>
        <w:rPr>
          <w:rFonts w:hint="eastAsia" w:ascii="方正小标宋简体" w:hAnsi="宋体" w:eastAsia="方正小标宋简体" w:cs="Times New Roman"/>
          <w:color w:val="000000"/>
          <w:sz w:val="44"/>
        </w:rPr>
        <w:t>国有资产报告和产权登记工作的通知</w:t>
      </w:r>
      <w:bookmarkEnd w:id="13"/>
    </w:p>
    <w:p>
      <w:pPr>
        <w:spacing w:line="580" w:lineRule="exact"/>
        <w:jc w:val="center"/>
        <w:rPr>
          <w:rFonts w:ascii="宋体" w:hAnsi="宋体" w:eastAsia="宋体" w:cs="Times New Roman"/>
          <w:sz w:val="32"/>
        </w:rPr>
      </w:pPr>
    </w:p>
    <w:p>
      <w:pPr>
        <w:spacing w:line="580" w:lineRule="exact"/>
        <w:rPr>
          <w:rFonts w:ascii="仿宋_GB2312" w:hAnsi="宋体" w:eastAsia="仿宋_GB2312" w:cs="Times New Roman"/>
          <w:sz w:val="32"/>
        </w:rPr>
      </w:pPr>
      <w:bookmarkStart w:id="14" w:name="MasterTo"/>
      <w:r>
        <w:rPr>
          <w:rFonts w:hint="eastAsia" w:ascii="仿宋_GB2312" w:hAnsi="宋体" w:eastAsia="仿宋_GB2312" w:cs="Times New Roman"/>
          <w:color w:val="000000"/>
          <w:sz w:val="32"/>
        </w:rPr>
        <w:t>各市（不含青岛）财政局，省黄三角农高区财政金融局，省直各部门、单位</w:t>
      </w:r>
      <w:bookmarkEnd w:id="14"/>
      <w:r>
        <w:rPr>
          <w:rFonts w:hint="eastAsia" w:ascii="仿宋_GB2312" w:hAnsi="宋体" w:eastAsia="仿宋_GB2312" w:cs="Times New Roman"/>
          <w:sz w:val="32"/>
        </w:rPr>
        <w:t>：</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 xml:space="preserve">为贯彻落实政府向本级人大常委会报告国有资产管理情况制度，全面摸清资产底数，夯实管理基础，根据《财政部关于编报2020年度行政事业性国有资产报告的通知》（财资〔2020〕144号），现就做好全省2020年度行政事业性国有资产报告（以下简称资产年报）和产权登记工作有关事项通知如下： </w:t>
      </w:r>
    </w:p>
    <w:p>
      <w:pPr>
        <w:tabs>
          <w:tab w:val="left" w:pos="3150"/>
        </w:tabs>
        <w:overflowPunct w:val="0"/>
        <w:spacing w:line="580" w:lineRule="exact"/>
        <w:ind w:firstLine="640" w:firstLineChars="200"/>
        <w:rPr>
          <w:rFonts w:ascii="黑体" w:hAnsi="黑体" w:eastAsia="黑体" w:cs="Times New Roman"/>
          <w:sz w:val="32"/>
        </w:rPr>
      </w:pPr>
      <w:r>
        <w:rPr>
          <w:rFonts w:hint="eastAsia" w:ascii="黑体" w:hAnsi="黑体" w:eastAsia="黑体" w:cs="Times New Roman"/>
          <w:sz w:val="32"/>
        </w:rPr>
        <w:t>一、编报范围和内容</w:t>
      </w:r>
    </w:p>
    <w:p>
      <w:pPr>
        <w:tabs>
          <w:tab w:val="left" w:pos="3150"/>
        </w:tabs>
        <w:overflowPunct w:val="0"/>
        <w:spacing w:line="580" w:lineRule="exact"/>
        <w:ind w:firstLine="640" w:firstLineChars="200"/>
        <w:rPr>
          <w:rFonts w:ascii="黑体" w:hAnsi="黑体" w:eastAsia="黑体" w:cs="Times New Roman"/>
          <w:sz w:val="32"/>
        </w:rPr>
      </w:pPr>
      <w:r>
        <w:rPr>
          <w:rFonts w:hint="eastAsia" w:ascii="楷体_GB2312" w:hAnsi="楷体_GB2312" w:eastAsia="楷体_GB2312" w:cs="楷体_GB2312"/>
          <w:sz w:val="32"/>
        </w:rPr>
        <w:t>（一）编报范围。</w:t>
      </w:r>
      <w:r>
        <w:rPr>
          <w:rFonts w:hint="eastAsia" w:ascii="仿宋_GB2312" w:hAnsi="宋体" w:eastAsia="仿宋_GB2312" w:cs="Times New Roman"/>
          <w:sz w:val="32"/>
        </w:rPr>
        <w:t>经机构编制管理部门批准成立的执行政府会计准则制度等各级各类行政事业单位、社会团体，占有、使用国有资产并执行民间非营利组织会计制度的社会团体等单位（以下简称行政事业单位），截至2020年12月31日的全部国有资产情况。</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楷体_GB2312" w:eastAsia="楷体_GB2312" w:cs="楷体_GB2312"/>
          <w:sz w:val="32"/>
        </w:rPr>
        <w:t>（二）编报内容。</w:t>
      </w:r>
      <w:r>
        <w:rPr>
          <w:rFonts w:hint="eastAsia" w:ascii="仿宋_GB2312" w:hAnsi="宋体" w:eastAsia="仿宋_GB2312" w:cs="Times New Roman"/>
          <w:sz w:val="32"/>
        </w:rPr>
        <w:t>资产年报由行政事业性国有资产报表、填报说明、分析报告三部分组成。</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1.行政事业性国有资产报表包括单户表和汇总表。单户表由各行政事业单位编报，反映本单位国有资产总体情况、存量情况，配置使用处置等管理情况，以及土地、房屋、车辆、公共基础设施、政府储备物资、文物文化资产、保障性住房等重要资产情况；汇总表由各单位、各部门、各地方按照财务隶属关系（行政区划）或预算管理级次逐级汇总编报，</w:t>
      </w:r>
      <w:r>
        <w:rPr>
          <w:rFonts w:hint="eastAsia" w:ascii="仿宋_GB2312" w:hAnsi="仿宋_GB2312" w:eastAsia="仿宋_GB2312" w:cs="仿宋_GB2312"/>
          <w:spacing w:val="-2"/>
          <w:kern w:val="0"/>
          <w:sz w:val="32"/>
          <w:szCs w:val="32"/>
          <w:shd w:val="clear" w:color="auto" w:fill="FFFFFF"/>
        </w:rPr>
        <w:t>反映本部门、本地区行政事业单位国有资产总量、配置、使用、处置、收益等情况。</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2.填报说明是对资产报表填报口径、审核情况、数据差异情况以及其他编报相关情况的说明。</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3.分析报告是按照政府向本级人大常委会报告国有资产管理情况的有关要求，对行政事业性国有资产总体情况以及配置、使用、处置、收益等管理情况，资产管理保障单位运转、支持事业发展、提供社会公共服务等情况，当前资产管理中存在的突出问题及相关审议意见整改落实情况，下一步工作思路及建议等方面的分析和总结。</w:t>
      </w:r>
    </w:p>
    <w:p>
      <w:pPr>
        <w:tabs>
          <w:tab w:val="left" w:pos="3150"/>
        </w:tabs>
        <w:overflowPunct w:val="0"/>
        <w:spacing w:line="580" w:lineRule="exact"/>
        <w:ind w:firstLine="640" w:firstLineChars="200"/>
        <w:rPr>
          <w:rFonts w:ascii="黑体" w:hAnsi="黑体" w:eastAsia="黑体" w:cs="Times New Roman"/>
          <w:sz w:val="32"/>
        </w:rPr>
      </w:pPr>
      <w:r>
        <w:rPr>
          <w:rFonts w:hint="eastAsia" w:ascii="黑体" w:hAnsi="黑体" w:eastAsia="黑体" w:cs="Times New Roman"/>
          <w:sz w:val="32"/>
        </w:rPr>
        <w:t>二、有关要求</w:t>
      </w:r>
    </w:p>
    <w:p>
      <w:pPr>
        <w:tabs>
          <w:tab w:val="left" w:pos="3150"/>
        </w:tabs>
        <w:overflowPunct w:val="0"/>
        <w:spacing w:line="580" w:lineRule="exact"/>
        <w:ind w:firstLine="640" w:firstLineChars="200"/>
        <w:rPr>
          <w:rFonts w:ascii="仿宋_GB2312" w:hAnsi="宋体" w:eastAsia="仿宋_GB2312" w:cs="Arial"/>
          <w:sz w:val="32"/>
          <w:szCs w:val="32"/>
        </w:rPr>
      </w:pPr>
      <w:r>
        <w:rPr>
          <w:rFonts w:hint="eastAsia" w:ascii="楷体_GB2312" w:hAnsi="Times New Roman" w:eastAsia="楷体_GB2312" w:cs="Times New Roman"/>
          <w:sz w:val="32"/>
          <w:szCs w:val="32"/>
        </w:rPr>
        <w:t>（一）准确把握资产年报编制口径。</w:t>
      </w:r>
      <w:r>
        <w:rPr>
          <w:rFonts w:hint="eastAsia" w:ascii="仿宋_GB2312" w:hAnsi="宋体" w:eastAsia="仿宋_GB2312" w:cs="Arial"/>
          <w:sz w:val="32"/>
          <w:szCs w:val="32"/>
        </w:rPr>
        <w:t>为更加全面准确反映行政事业性国有资产管理情况，促进资产合理配置，推动各类社会事业发展，提升公共服务供给水平，各部门、单位要结合政府会计制度实施，将公共基础设施、保障性住房、政府储备物资、文物文化资产全面纳入行政事业性国有资产核算和管理范围，加强与相关行业主管部门统计数据的比对分析，科学确立记账主体，规范计价方式，确保公共基础设施类资产填报数据的真实性、准确性和完整性。</w:t>
      </w:r>
    </w:p>
    <w:p>
      <w:pPr>
        <w:tabs>
          <w:tab w:val="left" w:pos="3150"/>
        </w:tabs>
        <w:overflowPunct w:val="0"/>
        <w:spacing w:line="580" w:lineRule="exact"/>
        <w:ind w:firstLine="640" w:firstLineChars="200"/>
        <w:rPr>
          <w:rFonts w:ascii="仿宋_GB2312" w:hAnsi="宋体" w:eastAsia="仿宋_GB2312" w:cs="Arial"/>
          <w:sz w:val="32"/>
          <w:szCs w:val="32"/>
        </w:rPr>
      </w:pPr>
      <w:r>
        <w:rPr>
          <w:rFonts w:hint="eastAsia" w:ascii="楷体_GB2312" w:hAnsi="Times New Roman" w:eastAsia="楷体_GB2312" w:cs="Times New Roman"/>
          <w:sz w:val="32"/>
          <w:szCs w:val="32"/>
        </w:rPr>
        <w:t>（二）切实抓好审计巡视问题整改。</w:t>
      </w:r>
      <w:r>
        <w:rPr>
          <w:rFonts w:hint="eastAsia" w:ascii="仿宋_GB2312" w:hAnsi="宋体" w:eastAsia="仿宋_GB2312" w:cs="Arial"/>
          <w:sz w:val="32"/>
          <w:szCs w:val="32"/>
        </w:rPr>
        <w:t>各级各部门要结合同级人大常委会对国有资产报告审议意见以及审计、巡视意见，</w:t>
      </w:r>
      <w:r>
        <w:rPr>
          <w:rFonts w:hint="eastAsia" w:ascii="仿宋_GB2312" w:hAnsi="Times New Roman" w:eastAsia="仿宋_GB2312" w:cs="Times New Roman"/>
          <w:sz w:val="32"/>
          <w:szCs w:val="32"/>
        </w:rPr>
        <w:t>采取有力措施，推进问题整改落实</w:t>
      </w:r>
      <w:r>
        <w:rPr>
          <w:rFonts w:hint="eastAsia" w:ascii="仿宋_GB2312" w:hAnsi="宋体" w:eastAsia="仿宋_GB2312" w:cs="Arial"/>
          <w:sz w:val="32"/>
          <w:szCs w:val="32"/>
        </w:rPr>
        <w:t>。</w:t>
      </w:r>
      <w:r>
        <w:rPr>
          <w:rFonts w:hint="eastAsia" w:ascii="仿宋_GB2312" w:hAnsi="Times New Roman" w:eastAsia="仿宋_GB2312" w:cs="Times New Roman"/>
          <w:sz w:val="32"/>
          <w:szCs w:val="32"/>
        </w:rPr>
        <w:t>针对闲置房地产，坚持能运营就运营、能调剂就调剂、能处置就处置原则，进一步</w:t>
      </w:r>
      <w:r>
        <w:rPr>
          <w:rFonts w:hint="eastAsia" w:ascii="仿宋_GB2312" w:hAnsi="宋体" w:eastAsia="仿宋_GB2312" w:cs="Arial"/>
          <w:sz w:val="32"/>
          <w:szCs w:val="32"/>
        </w:rPr>
        <w:t>加大盘活使用力度，对资产年报中填列的闲置资产要逐项作出说明。加强资产有偿使用监管，防止国有资产流失，严禁不经审批或不经公开招标擅自出租国有资产，严禁超规定租期出租国有资产。</w:t>
      </w:r>
      <w:r>
        <w:rPr>
          <w:rFonts w:hint="eastAsia" w:ascii="仿宋_GB2312" w:hAnsi="宋体" w:eastAsia="仿宋_GB2312" w:cs="Arial"/>
          <w:color w:val="000000"/>
          <w:sz w:val="32"/>
          <w:szCs w:val="32"/>
        </w:rPr>
        <w:t>根据《财政部关于加快做好长期已使用在建工程转固工作的通知》（财建</w:t>
      </w:r>
      <w:r>
        <w:rPr>
          <w:rFonts w:hint="eastAsia" w:ascii="仿宋_GB2312" w:hAnsi="宋体" w:eastAsia="仿宋_GB2312" w:cs="Times New Roman"/>
          <w:sz w:val="32"/>
        </w:rPr>
        <w:t>〔2019〕1号</w:t>
      </w:r>
      <w:r>
        <w:rPr>
          <w:rFonts w:hint="eastAsia" w:ascii="仿宋_GB2312" w:hAnsi="宋体" w:eastAsia="仿宋_GB2312" w:cs="Arial"/>
          <w:color w:val="000000"/>
          <w:sz w:val="32"/>
          <w:szCs w:val="32"/>
        </w:rPr>
        <w:t>）要求，逐项清理在建工程，凡已交付使用的，先按工程估计价值转固，待办理竣工决算后再按实际成本调整</w:t>
      </w:r>
      <w:r>
        <w:rPr>
          <w:rFonts w:hint="eastAsia" w:ascii="仿宋_GB2312" w:hAnsi="宋体" w:eastAsia="仿宋_GB2312" w:cs="Arial"/>
          <w:sz w:val="32"/>
          <w:szCs w:val="32"/>
        </w:rPr>
        <w:t>。严格落实国有资产处置收入上缴要求，按照政府非税收入收缴规定，实行“收支两条线”管理，及时足额缴纳资产处置收益。</w:t>
      </w:r>
    </w:p>
    <w:p>
      <w:pPr>
        <w:tabs>
          <w:tab w:val="left" w:pos="3150"/>
        </w:tabs>
        <w:overflowPunct w:val="0"/>
        <w:spacing w:line="580" w:lineRule="exact"/>
        <w:ind w:firstLine="641"/>
        <w:rPr>
          <w:rFonts w:ascii="仿宋_GB2312" w:hAnsi="仿宋_GB2312" w:eastAsia="仿宋_GB2312" w:cs="仿宋_GB2312"/>
          <w:sz w:val="32"/>
        </w:rPr>
      </w:pPr>
      <w:r>
        <w:rPr>
          <w:rFonts w:hint="eastAsia" w:ascii="楷体_GB2312" w:hAnsi="楷体_GB2312" w:eastAsia="楷体_GB2312" w:cs="楷体_GB2312"/>
          <w:sz w:val="32"/>
        </w:rPr>
        <w:t>（三）着力夯实固定资产管理基础。</w:t>
      </w:r>
      <w:r>
        <w:rPr>
          <w:rFonts w:hint="eastAsia" w:ascii="仿宋_GB2312" w:hAnsi="仿宋_GB2312" w:eastAsia="仿宋_GB2312" w:cs="仿宋_GB2312"/>
          <w:sz w:val="32"/>
        </w:rPr>
        <w:t>各级行政事业单位要以编制资产年报为契机，按照财务管理、资产管理相关工作要求，进一步规范会计核算，做好年终盘点，准确完整登记资产卡片信息，确保一卡一物、不重不漏</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根据《山东省财政厅关于转发&lt;财政部关于加强行政事业单位固定资产管理的通知&gt;的通知》</w:t>
      </w:r>
      <w:r>
        <w:rPr>
          <w:rFonts w:hint="eastAsia" w:ascii="仿宋_GB2312" w:hAnsi="宋体" w:eastAsia="仿宋_GB2312" w:cs="Times New Roman"/>
          <w:sz w:val="32"/>
        </w:rPr>
        <w:t>（鲁财资〔2020〕41号）</w:t>
      </w:r>
      <w:r>
        <w:rPr>
          <w:rFonts w:hint="eastAsia" w:ascii="仿宋_GB2312" w:hAnsi="仿宋_GB2312" w:eastAsia="仿宋_GB2312" w:cs="仿宋_GB2312"/>
          <w:sz w:val="32"/>
          <w:szCs w:val="32"/>
        </w:rPr>
        <w:t>要求，切实做好固定资产登记入账、处置核销等工作，严格按照“三重一大”事项决策程序及时处置长期积压的待处置资产，有效解决“销账难”的问题，确保账实相符，</w:t>
      </w:r>
      <w:r>
        <w:rPr>
          <w:rFonts w:hint="eastAsia" w:ascii="仿宋_GB2312" w:hAnsi="仿宋_GB2312" w:eastAsia="仿宋_GB2312" w:cs="仿宋_GB2312"/>
          <w:sz w:val="32"/>
        </w:rPr>
        <w:t>夯实资产管理基础。</w:t>
      </w:r>
    </w:p>
    <w:p>
      <w:pPr>
        <w:tabs>
          <w:tab w:val="left" w:pos="3150"/>
        </w:tabs>
        <w:overflowPunct w:val="0"/>
        <w:spacing w:line="580" w:lineRule="exact"/>
        <w:ind w:firstLine="640" w:firstLineChars="200"/>
        <w:rPr>
          <w:rFonts w:ascii="黑体" w:hAnsi="黑体" w:eastAsia="黑体" w:cs="Times New Roman"/>
          <w:sz w:val="32"/>
        </w:rPr>
      </w:pPr>
      <w:r>
        <w:rPr>
          <w:rFonts w:hint="eastAsia" w:ascii="黑体" w:hAnsi="黑体" w:eastAsia="黑体" w:cs="Times New Roman"/>
          <w:sz w:val="32"/>
        </w:rPr>
        <w:t>三、工作组织</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宋体" w:eastAsia="楷体_GB2312" w:cs="Times New Roman"/>
          <w:sz w:val="32"/>
        </w:rPr>
        <w:t>（一）高度重视，精心组织。</w:t>
      </w:r>
      <w:r>
        <w:rPr>
          <w:rFonts w:hint="eastAsia" w:ascii="仿宋_GB2312" w:hAnsi="宋体" w:eastAsia="仿宋_GB2312" w:cs="Times New Roman"/>
          <w:sz w:val="32"/>
        </w:rPr>
        <w:t>资产年报是行政事业性国有资产占有、使用、变动等情况的综合反映，是落实全口径、全覆盖国有资产报告制度的重要举措，对于深入推进行政事业性国有资产管理高质量发展，更好发挥资产配置使用效率具有重要意义。各级各部门要高度重视，精心组织，迅速布置推进，安排专人负责资产年报工作，扎实做好资产年报培训、编制等各项工作，确保按时保质完成工作任务。</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宋体" w:eastAsia="楷体_GB2312" w:cs="Times New Roman"/>
          <w:sz w:val="32"/>
        </w:rPr>
        <w:t>（二）强化审核，</w:t>
      </w:r>
      <w:r>
        <w:rPr>
          <w:rFonts w:hint="eastAsia" w:ascii="楷体_GB2312" w:hAnsi="楷体_GB2312" w:eastAsia="楷体_GB2312" w:cs="楷体_GB2312"/>
          <w:sz w:val="32"/>
        </w:rPr>
        <w:t>提高质量</w:t>
      </w:r>
      <w:r>
        <w:rPr>
          <w:rFonts w:hint="eastAsia" w:ascii="楷体_GB2312" w:hAnsi="宋体" w:eastAsia="楷体_GB2312" w:cs="Times New Roman"/>
          <w:sz w:val="32"/>
        </w:rPr>
        <w:t>。</w:t>
      </w:r>
      <w:r>
        <w:rPr>
          <w:rFonts w:hint="eastAsia" w:ascii="仿宋_GB2312" w:hAnsi="宋体" w:eastAsia="仿宋_GB2312" w:cs="Times New Roman"/>
          <w:sz w:val="32"/>
        </w:rPr>
        <w:t>各级各部门要加大资产年报数据审核力度，建立完善审核机制，加强数据对比分析，保障同口径资产数据与财务数据的一致性。省财政厅将加强资产年报集中会审工作，将结果纳入资产管理绩效评价范围，并对资产年报质量和报送情况等进行通报。各部门、各市财政局可结合实际开展集中会审工作，确保汇总数据准确完整。</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楷体_GB2312" w:eastAsia="楷体_GB2312" w:cs="楷体_GB2312"/>
          <w:sz w:val="32"/>
        </w:rPr>
        <w:t>（三）严格保密，确保安全。</w:t>
      </w:r>
      <w:r>
        <w:rPr>
          <w:rFonts w:hint="eastAsia" w:ascii="仿宋_GB2312" w:hAnsi="宋体" w:eastAsia="仿宋_GB2312" w:cs="Times New Roman"/>
          <w:sz w:val="32"/>
        </w:rPr>
        <w:t>各级行政事业单位应当严格遵守国家有关保密法规，落实相关安全保密要求，重视上报资产数据的安全保密工作。按照“谁产生，谁定密”的原则，由报送主体确定所报送信息是否涉密。涉密资产数据不得纳入非涉密资产管理信息系统进行管理。凡单位认定或按国家有关规定认定为涉密的信息，应当通过光盘等介质进行离线报送，并准确标注报送介质的密级。</w:t>
      </w:r>
    </w:p>
    <w:p>
      <w:pPr>
        <w:tabs>
          <w:tab w:val="left" w:pos="3150"/>
        </w:tabs>
        <w:overflowPunct w:val="0"/>
        <w:spacing w:line="580" w:lineRule="exact"/>
        <w:ind w:firstLine="640" w:firstLineChars="200"/>
        <w:rPr>
          <w:rFonts w:ascii="黑体" w:hAnsi="黑体" w:eastAsia="黑体" w:cs="Times New Roman"/>
          <w:sz w:val="32"/>
        </w:rPr>
      </w:pPr>
      <w:r>
        <w:rPr>
          <w:rFonts w:hint="eastAsia" w:ascii="黑体" w:hAnsi="黑体" w:eastAsia="黑体" w:cs="Times New Roman"/>
          <w:sz w:val="32"/>
        </w:rPr>
        <w:t>四、其他事项</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楷体_GB2312" w:eastAsia="楷体_GB2312" w:cs="楷体_GB2312"/>
          <w:sz w:val="32"/>
        </w:rPr>
        <w:t>（一）报送时间。</w:t>
      </w:r>
      <w:r>
        <w:rPr>
          <w:rFonts w:hint="eastAsia" w:ascii="仿宋_GB2312" w:hAnsi="宋体" w:eastAsia="仿宋_GB2312" w:cs="Times New Roman"/>
          <w:sz w:val="32"/>
        </w:rPr>
        <w:t>省直部门、单位资产年报报送截止时间为2021年3月5日，各市财政局报送截止时间为2021年3月10日。</w:t>
      </w:r>
    </w:p>
    <w:p>
      <w:pPr>
        <w:tabs>
          <w:tab w:val="left" w:pos="3150"/>
        </w:tabs>
        <w:overflowPunct w:val="0"/>
        <w:spacing w:line="580" w:lineRule="exact"/>
        <w:ind w:firstLine="640" w:firstLineChars="200"/>
        <w:rPr>
          <w:rFonts w:ascii="楷体_GB2312" w:hAnsi="楷体_GB2312" w:eastAsia="楷体_GB2312" w:cs="楷体_GB2312"/>
          <w:sz w:val="32"/>
        </w:rPr>
      </w:pPr>
      <w:r>
        <w:rPr>
          <w:rFonts w:hint="eastAsia" w:ascii="楷体_GB2312" w:hAnsi="楷体_GB2312" w:eastAsia="楷体_GB2312" w:cs="楷体_GB2312"/>
          <w:sz w:val="32"/>
        </w:rPr>
        <w:t>（二）报送内容</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1.省直部门、单位：纸质材料以正式发文形式向省财政厅报送资产年报，附件包括资产年报汇总表及填报说明、分析报告，并装订成册后加盖印章；电子材料（通过“山东省行政事业资产管理信息系统”报送）包括纸质材料的电子版和所有独立核算单位单户表和汇总表电子版，涉密单位仅需报送汇总表。同时，应将本部门、单位所属行政事业单位《国有资产产权登记表》（一式三份）及相关证明材料加盖公章后报送省财政厅（相关证明材料与上年度相同部分不再报送）。</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仿宋_GB2312" w:hAnsi="宋体" w:eastAsia="仿宋_GB2312" w:cs="Times New Roman"/>
          <w:sz w:val="32"/>
        </w:rPr>
        <w:t>2.各市财政局：纸质材料以正式发文形式向省财政厅报送资产年报，附件包括资产年报汇总表及填报说明、分析报告，并装订成册后加盖印章；电子材料（通过“山东省行政事业资产管理信息系统”报送）包括纸质材料的电子版和所有独立核算单位单户表和汇总表电子版。</w:t>
      </w:r>
    </w:p>
    <w:p>
      <w:pPr>
        <w:tabs>
          <w:tab w:val="left" w:pos="3150"/>
        </w:tabs>
        <w:overflowPunct w:val="0"/>
        <w:spacing w:line="580" w:lineRule="exact"/>
        <w:ind w:firstLine="640" w:firstLineChars="200"/>
        <w:rPr>
          <w:rFonts w:ascii="仿宋_GB2312" w:hAnsi="宋体" w:eastAsia="仿宋_GB2312" w:cs="Times New Roman"/>
          <w:sz w:val="32"/>
        </w:rPr>
      </w:pPr>
      <w:r>
        <w:rPr>
          <w:rFonts w:hint="eastAsia" w:ascii="楷体_GB2312" w:hAnsi="楷体_GB2312" w:eastAsia="楷体_GB2312" w:cs="楷体_GB2312"/>
          <w:sz w:val="32"/>
        </w:rPr>
        <w:t>（三）资料下载。</w:t>
      </w:r>
      <w:r>
        <w:rPr>
          <w:rFonts w:hint="eastAsia" w:ascii="仿宋_GB2312" w:hAnsi="宋体" w:eastAsia="仿宋_GB2312" w:cs="Times New Roman"/>
          <w:sz w:val="32"/>
        </w:rPr>
        <w:t>各级各部门可以从山东省行政事业资产管理信息系统“要闻通告”栏目下载资产报表编制说明等资产报告编审资料。</w:t>
      </w:r>
    </w:p>
    <w:p>
      <w:pPr>
        <w:overflowPunct w:val="0"/>
        <w:spacing w:line="580" w:lineRule="exact"/>
        <w:ind w:firstLine="640" w:firstLineChars="200"/>
        <w:rPr>
          <w:rFonts w:ascii="仿宋_GB2312" w:hAnsi="Times New Roman" w:eastAsia="仿宋_GB2312" w:cs="Times New Roman"/>
          <w:sz w:val="32"/>
        </w:rPr>
      </w:pPr>
      <w:r>
        <w:rPr>
          <w:rFonts w:hint="eastAsia" w:ascii="楷体_GB2312" w:hAnsi="楷体_GB2312" w:eastAsia="楷体_GB2312" w:cs="楷体_GB2312"/>
          <w:sz w:val="32"/>
        </w:rPr>
        <w:t>（四）联系方式。</w:t>
      </w:r>
      <w:r>
        <w:rPr>
          <w:rFonts w:hint="eastAsia" w:ascii="仿宋_GB2312" w:hAnsi="宋体" w:eastAsia="仿宋_GB2312" w:cs="Times New Roman"/>
          <w:sz w:val="32"/>
        </w:rPr>
        <w:t>在编报中如有问题，请及时与省财政厅资产管理处联系，联系电话：0531-82669841、82669550。省直部门技术支持：0531-82669844；各市技术支持：0531-89701705、89701725、89701726、89701729、89701364。</w:t>
      </w:r>
    </w:p>
    <w:p>
      <w:pPr>
        <w:spacing w:line="580" w:lineRule="exact"/>
        <w:jc w:val="center"/>
        <w:rPr>
          <w:rFonts w:ascii="仿宋_GB2312" w:hAnsi="Times New Roman" w:eastAsia="仿宋_GB2312" w:cs="Times New Roman"/>
          <w:sz w:val="32"/>
        </w:rPr>
      </w:pPr>
    </w:p>
    <w:p>
      <w:pPr>
        <w:spacing w:line="580" w:lineRule="exact"/>
        <w:ind w:firstLine="640" w:firstLineChars="200"/>
        <w:rPr>
          <w:rFonts w:ascii="仿宋_GB2312" w:hAnsi="Times New Roman" w:eastAsia="仿宋_GB2312" w:cs="Times New Roman"/>
          <w:sz w:val="32"/>
        </w:rPr>
      </w:pPr>
      <w:r>
        <w:rPr>
          <w:rFonts w:hint="eastAsia" w:ascii="仿宋_GB2312" w:hAnsi="Times New Roman" w:eastAsia="仿宋_GB2312" w:cs="Times New Roman"/>
          <w:sz w:val="32"/>
        </w:rPr>
        <w:t>附件：1.2020年度行政事业性国有资产报表</w:t>
      </w:r>
    </w:p>
    <w:p>
      <w:pPr>
        <w:spacing w:line="580" w:lineRule="exact"/>
        <w:ind w:firstLine="1600" w:firstLineChars="500"/>
        <w:rPr>
          <w:rFonts w:ascii="仿宋_GB2312" w:hAnsi="Times New Roman" w:eastAsia="仿宋_GB2312" w:cs="Times New Roman"/>
          <w:sz w:val="32"/>
        </w:rPr>
      </w:pPr>
      <w:r>
        <w:rPr>
          <w:rFonts w:hint="eastAsia" w:ascii="仿宋_GB2312" w:hAnsi="Times New Roman" w:eastAsia="仿宋_GB2312" w:cs="Times New Roman"/>
          <w:sz w:val="32"/>
        </w:rPr>
        <w:t>2.2020年度行政事业性国有资产报表填报说明提纲</w:t>
      </w:r>
    </w:p>
    <w:p>
      <w:pPr>
        <w:spacing w:line="580" w:lineRule="exact"/>
        <w:ind w:firstLine="1600" w:firstLineChars="500"/>
        <w:rPr>
          <w:rFonts w:ascii="仿宋_GB2312" w:hAnsi="Times New Roman" w:eastAsia="仿宋_GB2312" w:cs="Times New Roman"/>
          <w:sz w:val="32"/>
        </w:rPr>
      </w:pPr>
      <w:r>
        <w:rPr>
          <w:rFonts w:hint="eastAsia" w:ascii="仿宋_GB2312" w:hAnsi="Times New Roman" w:eastAsia="仿宋_GB2312" w:cs="Times New Roman"/>
          <w:sz w:val="32"/>
        </w:rPr>
        <w:t>3.2020年度行政事业性国有资产分析报告提纲</w:t>
      </w:r>
    </w:p>
    <w:p>
      <w:pPr>
        <w:spacing w:line="580" w:lineRule="exact"/>
        <w:ind w:firstLine="1600" w:firstLineChars="500"/>
        <w:rPr>
          <w:rFonts w:ascii="仿宋_GB2312" w:hAnsi="Times New Roman" w:eastAsia="仿宋_GB2312" w:cs="Times New Roman"/>
          <w:sz w:val="32"/>
        </w:rPr>
      </w:pPr>
      <w:r>
        <w:rPr>
          <w:rFonts w:hint="eastAsia" w:ascii="仿宋_GB2312" w:hAnsi="Times New Roman" w:eastAsia="仿宋_GB2312" w:cs="Times New Roman"/>
          <w:sz w:val="32"/>
        </w:rPr>
        <w:t>4.2020年度行政事业性国有资产报表编制说明</w:t>
      </w:r>
    </w:p>
    <w:p>
      <w:pPr>
        <w:spacing w:line="580" w:lineRule="exact"/>
        <w:ind w:firstLine="640" w:firstLineChars="200"/>
        <w:rPr>
          <w:rFonts w:ascii="仿宋_GB2312" w:hAnsi="Times New Roman" w:eastAsia="仿宋_GB2312" w:cs="Times New Roman"/>
          <w:sz w:val="32"/>
        </w:rPr>
      </w:pPr>
    </w:p>
    <w:p>
      <w:pPr>
        <w:spacing w:line="580" w:lineRule="exact"/>
        <w:ind w:firstLine="640" w:firstLineChars="2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p>
    <w:p>
      <w:pPr>
        <w:spacing w:line="580" w:lineRule="exact"/>
        <w:ind w:firstLine="5440" w:firstLineChars="1700"/>
        <w:rPr>
          <w:rFonts w:ascii="仿宋_GB2312" w:hAnsi="Times New Roman" w:eastAsia="仿宋_GB2312" w:cs="Times New Roman"/>
          <w:sz w:val="32"/>
        </w:rPr>
      </w:pPr>
      <w:r>
        <w:rPr>
          <w:rFonts w:hint="eastAsia" w:ascii="仿宋_GB2312" w:hAnsi="Times New Roman" w:eastAsia="仿宋_GB2312" w:cs="Times New Roman"/>
          <w:sz w:val="32"/>
        </w:rPr>
        <w:t>山东省财政厅</w:t>
      </w:r>
    </w:p>
    <w:p>
      <w:pPr>
        <w:spacing w:line="580" w:lineRule="exact"/>
        <w:ind w:firstLine="5120" w:firstLineChars="1600"/>
        <w:rPr>
          <w:rFonts w:ascii="仿宋_GB2312" w:hAnsi="Times New Roman" w:eastAsia="仿宋_GB2312" w:cs="Times New Roman"/>
          <w:sz w:val="32"/>
        </w:rPr>
      </w:pPr>
      <w:r>
        <w:rPr>
          <w:rFonts w:hint="eastAsia" w:ascii="仿宋_GB2312" w:hAnsi="Times New Roman" w:eastAsia="仿宋_GB2312" w:cs="Times New Roman"/>
          <w:sz w:val="32"/>
        </w:rPr>
        <w:t>2021年1月15日</w:t>
      </w:r>
    </w:p>
    <w:p>
      <w:pPr>
        <w:spacing w:line="580" w:lineRule="exact"/>
        <w:ind w:firstLine="5120" w:firstLineChars="1600"/>
        <w:rPr>
          <w:rFonts w:ascii="仿宋_GB2312" w:hAnsi="Times New Roman" w:eastAsia="仿宋_GB2312" w:cs="Times New Roman"/>
          <w:sz w:val="32"/>
        </w:rPr>
      </w:pPr>
    </w:p>
    <w:p>
      <w:pPr>
        <w:spacing w:line="600" w:lineRule="exact"/>
        <w:rPr>
          <w:rFonts w:ascii="仿宋_GB2312" w:hAnsi="Times New Roman" w:eastAsia="仿宋_GB2312" w:cs="Times New Roman"/>
          <w:color w:val="000000"/>
          <w:sz w:val="28"/>
          <w:szCs w:val="28"/>
        </w:rPr>
      </w:pPr>
      <w:r>
        <w:rPr>
          <w:rFonts w:hint="eastAsia" w:ascii="黑体" w:hAnsi="Times New Roman" w:eastAsia="黑体" w:cs="Times New Roman"/>
          <w:sz w:val="28"/>
          <w:szCs w:val="28"/>
        </w:rPr>
        <w:t>信息公开选项</w:t>
      </w:r>
      <w:r>
        <w:rPr>
          <w:rFonts w:hint="eastAsia" w:ascii="仿宋_GB2312" w:hAnsi="Times New Roman" w:eastAsia="仿宋_GB2312" w:cs="Times New Roman"/>
          <w:sz w:val="28"/>
          <w:szCs w:val="28"/>
        </w:rPr>
        <w:t>:</w:t>
      </w:r>
      <w:r>
        <w:rPr>
          <w:rFonts w:hint="eastAsia" w:ascii="方正小标宋简体" w:hAnsi="Times New Roman" w:eastAsia="方正小标宋简体" w:cs="Times New Roman"/>
          <w:color w:val="000000"/>
          <w:sz w:val="28"/>
          <w:szCs w:val="28"/>
        </w:rPr>
        <w:t xml:space="preserve"> </w:t>
      </w:r>
      <w:bookmarkStart w:id="15" w:name="OpenType"/>
      <w:r>
        <w:rPr>
          <w:rFonts w:hint="eastAsia" w:ascii="方正小标宋简体" w:hAnsi="Times New Roman" w:eastAsia="方正小标宋简体" w:cs="Times New Roman"/>
          <w:color w:val="000000"/>
          <w:sz w:val="28"/>
          <w:szCs w:val="28"/>
        </w:rPr>
        <w:t>主动公开</w:t>
      </w:r>
      <w:bookmarkEnd w:id="15"/>
    </w:p>
    <w:p>
      <w:r>
        <w:rPr>
          <w:rFonts w:ascii="仿宋_GB2312" w:hAnsi="Times New Roman" w:eastAsia="仿宋_GB2312" w:cs="Times New Roman"/>
          <w:sz w:val="32"/>
        </w:rPr>
        <w:pict>
          <v:line id="_x0000_s1038" o:spid="_x0000_s1038" o:spt="20" style="position:absolute;left:0pt;margin-left:0pt;margin-top:2.05pt;height:0pt;width:451.5pt;z-index:251684864;mso-width-relative:page;mso-height-relative:page;" coordsize="21600,21600" o:gfxdata="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a//e0wAAAAQBAAAPAAAAAAAAAAEAIAAAACIAAABkcnMvZG93bnJldi54bWxQSwECFAAU&#10;AAAACACHTuJARRNpLvYBAADnAwAADgAAAAAAAAABACAAAAAiAQAAZHJzL2Uyb0RvYy54bWxQSwUG&#10;AAAAAAYABgBZAQAAigUAAAAA&#10;">
            <v:path arrowok="t"/>
            <v:fill focussize="0,0"/>
            <v:stroke weight="1pt"/>
            <v:imagedata o:title=""/>
            <o:lock v:ext="edit"/>
          </v:line>
        </w:pict>
      </w:r>
      <w:r>
        <w:rPr>
          <w:rFonts w:ascii="仿宋_GB2312" w:hAnsi="Times New Roman" w:eastAsia="仿宋_GB2312" w:cs="Times New Roman"/>
          <w:sz w:val="32"/>
        </w:rPr>
        <w:pict>
          <v:line id="_x0000_s1037" o:spid="_x0000_s1037" o:spt="20" style="position:absolute;left:0pt;margin-left:0pt;margin-top:31pt;height:0pt;width:451.5pt;z-index:251683840;mso-width-relative:page;mso-height-relative:page;" coordsize="21600,21600" o:gfxdata="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zFuMbVAAAABgEAAA8AAAAAAAAAAQAgAAAAIgAAAGRycy9kb3ducmV2LnhtbFBLAQIU&#10;ABQAAAAIAIdO4kDcuBeg9gEAAOcDAAAOAAAAAAAAAAEAIAAAACQBAABkcnMvZTJvRG9jLnhtbFBL&#10;BQYAAAAABgAGAFkBAACMBQAAAAA=&#10;">
            <v:path arrowok="t"/>
            <v:fill focussize="0,0"/>
            <v:stroke weight="1pt"/>
            <v:imagedata o:title=""/>
            <o:lock v:ext="edit"/>
          </v:line>
        </w:pict>
      </w:r>
      <w:r>
        <w:rPr>
          <w:rFonts w:hint="eastAsia" w:ascii="仿宋_GB2312" w:hAnsi="Times New Roman" w:eastAsia="仿宋_GB2312" w:cs="Times New Roman"/>
          <w:sz w:val="28"/>
          <w:szCs w:val="28"/>
        </w:rPr>
        <w:t>山东省财政厅办公室                       2021年1月18日</w:t>
      </w:r>
    </w:p>
    <w:p>
      <w:r>
        <w:rPr>
          <w:rFonts w:hint="eastAsia" w:ascii="仿宋_GB2312" w:hAnsi="Times New Roman" w:eastAsia="仿宋_GB2312" w:cs="Times New Roman"/>
          <w:sz w:val="28"/>
          <w:szCs w:val="28"/>
        </w:rPr>
        <w:t xml:space="preserve">印发 </w:t>
      </w:r>
    </w:p>
    <w:p>
      <w:pPr>
        <w:spacing w:line="400" w:lineRule="exact"/>
        <w:ind w:firstLine="520" w:firstLineChars="200"/>
        <w:jc w:val="left"/>
        <w:rPr>
          <w:rFonts w:ascii="方正仿宋简体" w:hAnsi="方正仿宋简体" w:eastAsia="方正仿宋简体" w:cs="方正仿宋简体"/>
          <w:color w:val="FF0000"/>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三、涉及高校资产管理的其他规章</w:t>
      </w:r>
    </w:p>
    <w:p>
      <w:pPr>
        <w:ind w:firstLine="640" w:firstLineChars="200"/>
        <w:jc w:val="center"/>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(一)资产管理</w:t>
      </w: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ind w:firstLine="640" w:firstLineChars="200"/>
        <w:jc w:val="center"/>
        <w:rPr>
          <w:rFonts w:ascii="方正小标宋简体" w:hAnsi="方正仿宋简体" w:eastAsia="方正小标宋简体" w:cs="方正仿宋简体"/>
          <w:sz w:val="32"/>
          <w:szCs w:val="32"/>
        </w:rPr>
      </w:pPr>
    </w:p>
    <w:p>
      <w:pPr>
        <w:tabs>
          <w:tab w:val="left" w:pos="1567"/>
          <w:tab w:val="left" w:pos="3135"/>
          <w:tab w:val="left" w:pos="4702"/>
          <w:tab w:val="left" w:pos="6270"/>
          <w:tab w:val="left" w:pos="7837"/>
        </w:tabs>
        <w:autoSpaceDE w:val="0"/>
        <w:autoSpaceDN w:val="0"/>
        <w:ind w:right="-289" w:firstLine="2504" w:firstLineChars="200"/>
        <w:jc w:val="center"/>
        <w:rPr>
          <w:rFonts w:ascii="方正小标宋简体" w:hAnsi="方正仿宋简体" w:eastAsia="方正小标宋简体" w:cs="方正仿宋简体"/>
          <w:spacing w:val="426"/>
          <w:kern w:val="0"/>
          <w:sz w:val="40"/>
          <w:szCs w:val="40"/>
          <w:lang w:val="zh-CN" w:bidi="zh-CN"/>
        </w:rPr>
      </w:pPr>
      <w:r>
        <w:rPr>
          <w:rFonts w:ascii="方正小标宋简体" w:hAnsi="方正仿宋简体" w:eastAsia="方正小标宋简体" w:cs="方正仿宋简体"/>
          <w:spacing w:val="426"/>
          <w:kern w:val="0"/>
          <w:sz w:val="40"/>
          <w:szCs w:val="40"/>
          <w:lang w:val="zh-CN" w:bidi="zh-CN"/>
        </w:rPr>
        <w:pict>
          <v:group id="_x0000_s1034" o:spid="_x0000_s1034" o:spt="203" style="position:absolute;left:0pt;margin-left:76.4pt;margin-top:61.35pt;height:6.75pt;width:442.35pt;mso-position-horizontal-relative:page;z-index:-251642880;mso-width-relative:page;mso-height-relative:page;" coordorigin="1528,1227" coordsize="8847,135203" o:gfxdata="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gGPcttoAAAAMAQAADwAAAAAAAAABACAAAAAiAAAAZHJzL2Rvd25yZXYueG1sUEsBAhQAFAAA&#10;AAgAh07iQEOQSPuYAgAAJgcAAA4AAAAAAAAAAQAgAAAAKQEAAGRycy9lMm9Eb2MueG1sUEsFBgAA&#10;AAAGAAYAWQEAADMGAAAAAA==&#10;">
            <o:lock v:ext="edit"/>
            <v:line id="_x0000_s1036" o:spid="_x0000_s1036" o:spt="20" style="position:absolute;left:1528;top:1262;height:0;width:8844;" stroked="t" coordsize="21600,21600" o:gfxdata="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16E7sAAADb&#10;AAAADwAAAAAAAAABACAAAAAiAAAAZHJzL2Rvd25yZXYueG1sUEsBAhQAFAAAAAgAh07iQDMvBZ47&#10;AAAAOQAAABAAAAAAAAAAAQAgAAAACgEAAGRycy9zaGFwZXhtbC54bWxQSwUGAAAAAAYABgBbAQAA&#10;tAMAAAAA&#10;">
              <v:path arrowok="t"/>
              <v:fill focussize="0,0"/>
              <v:stroke weight="3.5pt" color="#FF0000"/>
              <v:imagedata o:title=""/>
              <o:lock v:ext="edit"/>
            </v:line>
            <v:line id="_x0000_s1035" o:spid="_x0000_s1035" o:spt="20" style="position:absolute;left:1531;top:1352;height:0;width:8844;" stroked="t" coordsize="21600,21600" o:gfxdata="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MSva/&#10;AAAA2wAAAA8AAAAAAAAAAQAgAAAAIgAAAGRycy9kb3ducmV2LnhtbFBLAQIUABQAAAAIAIdO4kAz&#10;LwWeOwAAADkAAAAQAAAAAAAAAAEAIAAAAA4BAABkcnMvc2hhcGV4bWwueG1sUEsFBgAAAAAGAAYA&#10;WwEAALgDAAAAAA==&#10;">
              <v:path arrowok="t"/>
              <v:fill focussize="0,0"/>
              <v:stroke weight="1pt" color="#FF0000"/>
              <v:imagedata o:title=""/>
              <o:lock v:ext="edit"/>
            </v:line>
          </v:group>
        </w:pict>
      </w:r>
      <w:bookmarkStart w:id="16" w:name="2018关于进一步加强高等学校国有资产管理的通知_(1)"/>
      <w:bookmarkEnd w:id="16"/>
      <w:r>
        <w:rPr>
          <w:rFonts w:hint="eastAsia" w:ascii="方正小标宋简体" w:hAnsi="方正仿宋简体" w:eastAsia="方正小标宋简体" w:cs="方正仿宋简体"/>
          <w:color w:val="FF0000"/>
          <w:spacing w:val="426"/>
          <w:kern w:val="0"/>
          <w:sz w:val="40"/>
          <w:szCs w:val="40"/>
          <w:lang w:val="zh-CN" w:bidi="zh-CN"/>
        </w:rPr>
        <w:t>山东省教育厅</w:t>
      </w:r>
    </w:p>
    <w:p>
      <w:pPr>
        <w:autoSpaceDE w:val="0"/>
        <w:autoSpaceDN w:val="0"/>
        <w:spacing w:line="400" w:lineRule="exact"/>
        <w:ind w:firstLine="520" w:firstLineChars="200"/>
        <w:jc w:val="center"/>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鲁教财函〔2018〕8</w:t>
      </w:r>
      <w:r>
        <w:rPr>
          <w:rFonts w:hint="eastAsia" w:ascii="方正仿宋简体" w:hAnsi="方正仿宋简体" w:eastAsia="方正仿宋简体" w:cs="方正仿宋简体"/>
          <w:spacing w:val="-42"/>
          <w:kern w:val="0"/>
          <w:sz w:val="26"/>
          <w:szCs w:val="26"/>
          <w:lang w:val="zh-CN" w:bidi="zh-CN"/>
        </w:rPr>
        <w:t xml:space="preserve"> 号</w:t>
      </w: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spacing w:line="400" w:lineRule="exact"/>
        <w:ind w:firstLine="640" w:firstLineChars="200"/>
        <w:jc w:val="center"/>
        <w:rPr>
          <w:rFonts w:ascii="方正小标宋简体" w:eastAsia="方正小标宋简体"/>
          <w:b/>
          <w:sz w:val="32"/>
          <w:szCs w:val="21"/>
          <w:lang w:val="zh-CN"/>
        </w:rPr>
      </w:pPr>
      <w:r>
        <w:rPr>
          <w:rFonts w:hint="eastAsia" w:ascii="方正小标宋简体" w:eastAsia="方正小标宋简体"/>
          <w:b/>
          <w:sz w:val="32"/>
          <w:szCs w:val="21"/>
          <w:lang w:val="zh-CN"/>
        </w:rPr>
        <w:t>山东省教育厅</w:t>
      </w:r>
    </w:p>
    <w:p>
      <w:pPr>
        <w:spacing w:line="400" w:lineRule="exact"/>
        <w:ind w:firstLine="640" w:firstLineChars="200"/>
        <w:jc w:val="center"/>
        <w:rPr>
          <w:rFonts w:ascii="方正小标宋简体" w:eastAsia="方正小标宋简体"/>
          <w:b/>
          <w:sz w:val="32"/>
          <w:szCs w:val="21"/>
          <w:lang w:val="zh-CN"/>
        </w:rPr>
      </w:pPr>
      <w:r>
        <w:rPr>
          <w:rFonts w:hint="eastAsia" w:ascii="方正小标宋简体" w:eastAsia="方正小标宋简体"/>
          <w:b/>
          <w:sz w:val="32"/>
          <w:szCs w:val="21"/>
          <w:lang w:val="zh-CN"/>
        </w:rPr>
        <w:t>关于进一步加强高等学校国有资产管理的通知</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厅属高等学校：</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为贯彻落实《山东省教育厅等部门关于深化高等教育领域简政放权放管结合优化服务改革的实施意见》（鲁教法发〔2018〕1 号）精神，扩大高等学校办学自主权，根据《教育部关于规范和加强直属高校国有资产管理的若干意见》（教财〔2017〕9 号） 和《山东省财政厅关于省直部门所属高校国有资产处置管理有关问题的通知》（鲁财资〔2017〕97 号）等有关规定，现就进一步加强厅属高校国有资产管理通知如下：</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一、落实高校国有资产管理主体责任</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承担本校占有、使用国有资产的具体管理职责，高校校长是国有资产管理工作第一责任人，分管校领导是国有资产管理工作的主要负责人。高校应结合实际，建立和完善本校资产配置、使用、处置、绩效评价、信息化建设、统计报告、日常监督等具体制度。科学合理设置内部国有资产管理机构，对学校国有资产实施统一领导、归口管理。高校要根据资产规模和管理工作的需要，配备足够数量且具有专业胜任能力的国有资产管理工作人员，确保管理责任落实到人。</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二、加强资产配置管理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应按照国家对事业单位资产配置数量、价格上限、最低使用年限等规定，结合本校实际，科学论证，从严控制，厉行节约，建立健全资产配置标准。高校要积极推进资产管理与预算管理相结合，将资产配置管理职能嵌入预算管理流程。新增资产配置必须综合考虑现有资产存量情况，充分论证，纳入学校预算统一管理。同时，高校要加强对存量资产的有效利用，积极推进国有资产整合与共享共用，避免资产闲置浪费。</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三、扩大高校资产处置权限</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高校处置资产需经校长办公会或党委会研究同意，未经审批严禁处置资产。其中：</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（一）下列国有资产处置事项由高校报省教育厅审批：</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1.土地使用权；</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2.货币性资产（含货币资金及往来款项）；</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3.对外投资（含股权）；</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4.未达使用年限且单项账面原值在 500 万元以上（含 500 万元）的固定资产；单位撤销、合并、分立、改制、隶属关系改变等情形下的整体资产处置。</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上述资产处置申办资料按照《山东省省级行政事业国有资产处置管理办法》（鲁财资〔2017〕36 号）规定执行。</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（二）其它国有资产处置事项，由高校自主审批，处置结果于每季度终了后 10 个工作日内报教育厅备案。</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（三）资产使用年限标准按照《山东省高等学校固定资产最低使用年限表》（见附件）执行。已达使用年限仍可以继续使用的，应当继续使用。</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四、规范资产处置收益管理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高校处置涉及科技成果转化资产取得的收益，全部留归高校，不上缴国库，纳入单位预算，统一管理；除上述情形以外的资产处置收入，全额上缴省级国库，纳入单位预算管理。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五、及时进行账务处理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资产处置事项完成后，高校要依据国有资产处置事项批准文件或其他合法有效凭证，按照现行财务制度规定处理会计账务，并及时将资产处置信息录入“山东省行政事业资产管理信息系统”，确保资产信息动态化管理，实现账账相符、账实相符、账卡相符。</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六、推进资产管理信息系统建设</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应统筹设计、整体规划、稳步推进国有资产信息化建设，充分考虑国有资产监管要求、内部控制环节、现有设施资源及未来业务发展变化，持续优化管理信息系统。高校应运用信息化管理工具对国有资产信息系统的合理性、数据的准确性、操作的规范性进行监控和反馈,加强资产管理信息系统的管理与维护，确保资产信息安全。</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七、加强资产绩效考核评价</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应按照社会效益和经济效益相结合的原则建立资产绩效考核评价体系，通过科学合理、客观公正、规范可行的方法、标准和程序，真实反映和评价本校国有资产管理绩效。高校要加强绩效考核评价结果的运用，将绩效评价的结果作为资产配置、使用和处置的重要依据，不断提高国有资产的安全性、完整性和有效性。</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八、强化国有资产监督管理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要建立健全国有资产监督管理责任制，强化纪检、监察、审计等部门协作联动监督，提高内部控制水平，防止国有资产流失。省教育厅和财政厅将加大对高校国有资产管理的指导和监督力度，组织专项检查，及时发现国有资产管理过程中存在的突出问题、管理漏洞和薄弱环节，督促加以改进。高校要自觉接受和配合省教育厅和财政厅组织的监督检查、审计、考评等工作。</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高校应根据本通知要求，结合学校实际情况，及时修订本校国有资产管理办法，于 5 月底前报教育厅备案。</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附件：山东省高等学校固定资产最低使用年限表</w:t>
      </w:r>
    </w:p>
    <w:p>
      <w:pPr>
        <w:autoSpaceDE w:val="0"/>
        <w:autoSpaceDN w:val="0"/>
        <w:spacing w:line="400" w:lineRule="exact"/>
        <w:ind w:right="260" w:firstLine="4290" w:firstLineChars="165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山东省教育厅</w:t>
      </w:r>
    </w:p>
    <w:p>
      <w:pPr>
        <w:autoSpaceDE w:val="0"/>
        <w:autoSpaceDN w:val="0"/>
        <w:spacing w:line="400" w:lineRule="exact"/>
        <w:ind w:firstLine="4030" w:firstLineChars="155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2018 年 3 月 2 日</w:t>
      </w:r>
    </w:p>
    <w:p>
      <w:pPr>
        <w:spacing w:line="400" w:lineRule="exact"/>
        <w:ind w:firstLine="520" w:firstLineChars="200"/>
        <w:jc w:val="left"/>
        <w:rPr>
          <w:rFonts w:ascii="方正仿宋简体" w:hAnsi="方正仿宋简体" w:eastAsia="方正仿宋简体" w:cs="方正仿宋简体"/>
          <w:bCs/>
          <w:iCs/>
          <w:sz w:val="26"/>
          <w:szCs w:val="26"/>
        </w:rPr>
        <w:sectPr>
          <w:footerReference r:id="rId7" w:type="default"/>
          <w:pgSz w:w="11900" w:h="16838"/>
          <w:pgMar w:top="1417" w:right="1701" w:bottom="1417" w:left="1701" w:header="850" w:footer="850" w:gutter="0"/>
          <w:cols w:space="720" w:num="1"/>
          <w:docGrid w:type="lines" w:linePitch="366" w:charSpace="0"/>
        </w:sectPr>
      </w:pPr>
    </w:p>
    <w:p>
      <w:pPr>
        <w:autoSpaceDE w:val="0"/>
        <w:autoSpaceDN w:val="0"/>
        <w:spacing w:line="400" w:lineRule="exact"/>
        <w:jc w:val="left"/>
        <w:rPr>
          <w:rFonts w:ascii="方正仿宋简体" w:hAnsi="方正仿宋简体" w:eastAsia="方正仿宋简体" w:cs="方正仿宋简体"/>
          <w:kern w:val="0"/>
          <w:sz w:val="26"/>
          <w:szCs w:val="26"/>
          <w:lang w:val="zh-CN" w:bidi="zh-CN"/>
        </w:rPr>
      </w:pPr>
      <w:r>
        <w:rPr>
          <w:rFonts w:hint="eastAsia" w:ascii="方正仿宋简体" w:hAnsi="方正仿宋简体" w:eastAsia="方正仿宋简体" w:cs="方正仿宋简体"/>
          <w:kern w:val="0"/>
          <w:sz w:val="26"/>
          <w:szCs w:val="26"/>
          <w:lang w:val="zh-CN" w:bidi="zh-CN"/>
        </w:rPr>
        <w:t>附件</w:t>
      </w:r>
    </w:p>
    <w:p>
      <w:pPr>
        <w:autoSpaceDE w:val="0"/>
        <w:autoSpaceDN w:val="0"/>
        <w:spacing w:line="400" w:lineRule="exact"/>
        <w:jc w:val="center"/>
        <w:rPr>
          <w:rFonts w:ascii="方正仿宋简体" w:hAnsi="方正仿宋简体" w:eastAsia="方正仿宋简体" w:cs="方正仿宋简体"/>
          <w:b/>
          <w:kern w:val="0"/>
          <w:sz w:val="26"/>
          <w:szCs w:val="26"/>
          <w:lang w:val="zh-CN" w:bidi="zh-CN"/>
        </w:rPr>
      </w:pPr>
      <w:r>
        <w:rPr>
          <w:rFonts w:hint="eastAsia" w:ascii="方正仿宋简体" w:hAnsi="方正仿宋简体" w:eastAsia="方正仿宋简体" w:cs="方正仿宋简体"/>
          <w:b/>
          <w:kern w:val="0"/>
          <w:sz w:val="26"/>
          <w:szCs w:val="26"/>
          <w:lang w:val="zh-CN" w:bidi="zh-CN"/>
        </w:rPr>
        <w:t>山东省高等学校固定资产最低使用年限表</w:t>
      </w: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tbl>
      <w:tblPr>
        <w:tblStyle w:val="14"/>
        <w:tblW w:w="0" w:type="auto"/>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9"/>
        <w:gridCol w:w="1832"/>
        <w:gridCol w:w="2671"/>
        <w:gridCol w:w="2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固定资产类别</w:t>
            </w:r>
          </w:p>
        </w:tc>
        <w:tc>
          <w:tcPr>
            <w:tcW w:w="4503" w:type="dxa"/>
            <w:gridSpan w:val="2"/>
            <w:vAlign w:val="center"/>
          </w:tcPr>
          <w:p>
            <w:pPr>
              <w:tabs>
                <w:tab w:val="left" w:pos="594"/>
              </w:tabs>
              <w:autoSpaceDE w:val="0"/>
              <w:autoSpaceDN w:val="0"/>
              <w:spacing w:line="400" w:lineRule="exact"/>
              <w:ind w:left="68"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内</w:t>
            </w:r>
            <w:r>
              <w:rPr>
                <w:rFonts w:hint="eastAsia" w:ascii="方正仿宋简体" w:hAnsi="方正仿宋简体" w:eastAsia="方正仿宋简体" w:cs="方正仿宋简体"/>
                <w:sz w:val="26"/>
                <w:szCs w:val="26"/>
                <w:lang w:val="zh-CN" w:bidi="zh-CN"/>
              </w:rPr>
              <w:tab/>
            </w:r>
            <w:r>
              <w:rPr>
                <w:rFonts w:hint="eastAsia" w:ascii="方正仿宋简体" w:hAnsi="方正仿宋简体" w:eastAsia="方正仿宋简体" w:cs="方正仿宋简体"/>
                <w:sz w:val="26"/>
                <w:szCs w:val="26"/>
                <w:lang w:val="zh-CN" w:bidi="zh-CN"/>
              </w:rPr>
              <w:t>容</w:t>
            </w:r>
          </w:p>
        </w:tc>
        <w:tc>
          <w:tcPr>
            <w:tcW w:w="2548" w:type="dxa"/>
            <w:vAlign w:val="center"/>
          </w:tcPr>
          <w:p>
            <w:pPr>
              <w:autoSpaceDE w:val="0"/>
              <w:autoSpaceDN w:val="0"/>
              <w:spacing w:line="400" w:lineRule="exac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最低使用年限（年）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restart"/>
            <w:vAlign w:val="center"/>
          </w:tcPr>
          <w:p>
            <w:pPr>
              <w:autoSpaceDE w:val="0"/>
              <w:autoSpaceDN w:val="0"/>
              <w:spacing w:line="400" w:lineRule="exact"/>
              <w:ind w:left="33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房屋及构筑物</w:t>
            </w:r>
          </w:p>
        </w:tc>
        <w:tc>
          <w:tcPr>
            <w:tcW w:w="1832" w:type="dxa"/>
            <w:vMerge w:val="restart"/>
            <w:vAlign w:val="center"/>
          </w:tcPr>
          <w:p>
            <w:pPr>
              <w:autoSpaceDE w:val="0"/>
              <w:autoSpaceDN w:val="0"/>
              <w:spacing w:line="400" w:lineRule="exact"/>
              <w:ind w:left="208"/>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业务及管理用房</w:t>
            </w:r>
          </w:p>
        </w:tc>
        <w:tc>
          <w:tcPr>
            <w:tcW w:w="2671" w:type="dxa"/>
            <w:vAlign w:val="center"/>
          </w:tcPr>
          <w:p>
            <w:pPr>
              <w:autoSpaceDE w:val="0"/>
              <w:autoSpaceDN w:val="0"/>
              <w:spacing w:line="400" w:lineRule="exact"/>
              <w:ind w:right="570" w:firstLine="260" w:firstLineChars="1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钢结构</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1832"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2671" w:type="dxa"/>
            <w:vAlign w:val="center"/>
          </w:tcPr>
          <w:p>
            <w:pPr>
              <w:autoSpaceDE w:val="0"/>
              <w:autoSpaceDN w:val="0"/>
              <w:spacing w:line="400" w:lineRule="exact"/>
              <w:ind w:right="570" w:firstLine="260" w:firstLineChars="1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钢筋混凝土结构</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1832"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2671" w:type="dxa"/>
            <w:vAlign w:val="center"/>
          </w:tcPr>
          <w:p>
            <w:pPr>
              <w:autoSpaceDE w:val="0"/>
              <w:autoSpaceDN w:val="0"/>
              <w:spacing w:line="400" w:lineRule="exact"/>
              <w:ind w:right="570" w:firstLine="260" w:firstLineChars="1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砖混结构</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1832"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2671" w:type="dxa"/>
            <w:vAlign w:val="center"/>
          </w:tcPr>
          <w:p>
            <w:pPr>
              <w:autoSpaceDE w:val="0"/>
              <w:autoSpaceDN w:val="0"/>
              <w:spacing w:line="400" w:lineRule="exact"/>
              <w:ind w:right="570" w:firstLine="260" w:firstLineChars="1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砖木结构</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简易房</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房屋附属设施</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构筑物</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restart"/>
            <w:vAlign w:val="center"/>
          </w:tcPr>
          <w:p>
            <w:pPr>
              <w:autoSpaceDE w:val="0"/>
              <w:autoSpaceDN w:val="0"/>
              <w:spacing w:line="400" w:lineRule="exact"/>
              <w:ind w:left="59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通用设备</w:t>
            </w: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计算机设备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办公设备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车辆</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图书档案设备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机械设备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电气设备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雷达、无线电和卫星导航设备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通信设备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广播、电视、电影设备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仪器仪表</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电子和通信测量设备</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3" w:type="dxa"/>
            <w:gridSpan w:val="2"/>
            <w:vAlign w:val="center"/>
          </w:tcPr>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计量标准器具及量具、衡器</w:t>
            </w:r>
          </w:p>
        </w:tc>
        <w:tc>
          <w:tcPr>
            <w:tcW w:w="2548" w:type="dxa"/>
            <w:vAlign w:val="center"/>
          </w:tcPr>
          <w:p>
            <w:pPr>
              <w:autoSpaceDE w:val="0"/>
              <w:autoSpaceDN w:val="0"/>
              <w:spacing w:line="400" w:lineRule="exact"/>
              <w:ind w:left="412"/>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bl>
    <w:p>
      <w:pPr>
        <w:spacing w:line="400" w:lineRule="exact"/>
        <w:ind w:firstLine="520" w:firstLineChars="200"/>
        <w:jc w:val="left"/>
        <w:rPr>
          <w:rFonts w:ascii="方正仿宋简体" w:hAnsi="方正仿宋简体" w:eastAsia="方正仿宋简体" w:cs="方正仿宋简体"/>
          <w:sz w:val="26"/>
          <w:szCs w:val="26"/>
        </w:rPr>
        <w:sectPr>
          <w:type w:val="nextColumn"/>
          <w:pgSz w:w="11900" w:h="16838"/>
          <w:pgMar w:top="1417" w:right="1701" w:bottom="1417" w:left="1701" w:header="850" w:footer="850" w:gutter="0"/>
          <w:cols w:space="720" w:num="1"/>
          <w:docGrid w:type="lines" w:linePitch="366" w:charSpace="0"/>
        </w:sect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tbl>
      <w:tblPr>
        <w:tblStyle w:val="14"/>
        <w:tblW w:w="0" w:type="auto"/>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9"/>
        <w:gridCol w:w="4501"/>
        <w:gridCol w:w="2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029" w:type="dxa"/>
            <w:vAlign w:val="center"/>
          </w:tcPr>
          <w:p>
            <w:pPr>
              <w:autoSpaceDE w:val="0"/>
              <w:autoSpaceDN w:val="0"/>
              <w:spacing w:line="400" w:lineRule="exact"/>
              <w:ind w:left="412"/>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固定资产类别</w:t>
            </w:r>
          </w:p>
        </w:tc>
        <w:tc>
          <w:tcPr>
            <w:tcW w:w="4501" w:type="dxa"/>
            <w:vAlign w:val="center"/>
          </w:tcPr>
          <w:p>
            <w:pPr>
              <w:tabs>
                <w:tab w:val="left" w:pos="596"/>
              </w:tabs>
              <w:autoSpaceDE w:val="0"/>
              <w:autoSpaceDN w:val="0"/>
              <w:spacing w:line="400" w:lineRule="exact"/>
              <w:ind w:left="7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内</w:t>
            </w:r>
            <w:r>
              <w:rPr>
                <w:rFonts w:hint="eastAsia" w:ascii="方正仿宋简体" w:hAnsi="方正仿宋简体" w:eastAsia="方正仿宋简体" w:cs="方正仿宋简体"/>
                <w:sz w:val="26"/>
                <w:szCs w:val="26"/>
                <w:lang w:val="zh-CN" w:bidi="zh-CN"/>
              </w:rPr>
              <w:tab/>
            </w:r>
            <w:r>
              <w:rPr>
                <w:rFonts w:hint="eastAsia" w:ascii="方正仿宋简体" w:hAnsi="方正仿宋简体" w:eastAsia="方正仿宋简体" w:cs="方正仿宋简体"/>
                <w:sz w:val="26"/>
                <w:szCs w:val="26"/>
                <w:lang w:val="zh-CN" w:bidi="zh-CN"/>
              </w:rPr>
              <w:t>容</w:t>
            </w:r>
          </w:p>
        </w:tc>
        <w:tc>
          <w:tcPr>
            <w:tcW w:w="2547" w:type="dxa"/>
            <w:vAlign w:val="center"/>
          </w:tcPr>
          <w:p>
            <w:pPr>
              <w:autoSpaceDE w:val="0"/>
              <w:autoSpaceDN w:val="0"/>
              <w:spacing w:line="400" w:lineRule="exact"/>
              <w:ind w:right="271"/>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最低使用年限（年）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restart"/>
            <w:vAlign w:val="center"/>
          </w:tcPr>
          <w:p>
            <w:pPr>
              <w:autoSpaceDE w:val="0"/>
              <w:autoSpaceDN w:val="0"/>
              <w:spacing w:line="400" w:lineRule="exact"/>
              <w:ind w:left="-17" w:leftChars="-8"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专用设备</w:t>
            </w: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探矿、采矿、选矿和造块设备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石油天然气开采专用设备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石油和化学工业专用设备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炼焦和金属冶炼轧制设备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电力工业专用设备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非金属矿物制品工业专用设备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核工业专用设备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航空航天工业专用设备</w:t>
            </w:r>
          </w:p>
        </w:tc>
        <w:tc>
          <w:tcPr>
            <w:tcW w:w="2547" w:type="dxa"/>
            <w:vAlign w:val="center"/>
          </w:tcPr>
          <w:p>
            <w:pPr>
              <w:autoSpaceDE w:val="0"/>
              <w:autoSpaceDN w:val="0"/>
              <w:spacing w:line="400" w:lineRule="exact"/>
              <w:ind w:left="281"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工程机械</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农业和林业机械</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木材采集和加工设备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食品加工专用设备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饮料加工设备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烟草加工设备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粮油作物和饲料加工设备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纺织设备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缝纫、服饰、制革和毛皮加工设备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造纸和印刷机械</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化学药品和中药专用设备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医疗设备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电工、电子专用生产设备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安全生产设备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邮政专用设备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环境污染防治设备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firstLine="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公安专用设备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3</w:t>
            </w:r>
          </w:p>
        </w:tc>
      </w:tr>
    </w:tbl>
    <w:p>
      <w:pPr>
        <w:spacing w:line="400" w:lineRule="exact"/>
        <w:ind w:firstLine="520" w:firstLineChars="200"/>
        <w:jc w:val="left"/>
        <w:rPr>
          <w:rFonts w:ascii="方正仿宋简体" w:hAnsi="方正仿宋简体" w:eastAsia="方正仿宋简体" w:cs="方正仿宋简体"/>
          <w:sz w:val="26"/>
          <w:szCs w:val="26"/>
        </w:rPr>
        <w:sectPr>
          <w:type w:val="nextColumn"/>
          <w:pgSz w:w="11900" w:h="16838"/>
          <w:pgMar w:top="1417" w:right="1701" w:bottom="1417" w:left="1701" w:header="850" w:footer="850" w:gutter="0"/>
          <w:cols w:space="720" w:num="1"/>
          <w:docGrid w:type="lines" w:linePitch="366" w:charSpace="0"/>
        </w:sect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tbl>
      <w:tblPr>
        <w:tblStyle w:val="14"/>
        <w:tblW w:w="0" w:type="auto"/>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9"/>
        <w:gridCol w:w="4501"/>
        <w:gridCol w:w="2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2" w:hRule="atLeast"/>
        </w:trPr>
        <w:tc>
          <w:tcPr>
            <w:tcW w:w="2029" w:type="dxa"/>
            <w:vAlign w:val="center"/>
          </w:tcPr>
          <w:p>
            <w:pPr>
              <w:autoSpaceDE w:val="0"/>
              <w:autoSpaceDN w:val="0"/>
              <w:spacing w:line="400" w:lineRule="exact"/>
              <w:ind w:left="-273" w:leftChars="-13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固定资产类别</w:t>
            </w:r>
          </w:p>
        </w:tc>
        <w:tc>
          <w:tcPr>
            <w:tcW w:w="4501" w:type="dxa"/>
            <w:vAlign w:val="center"/>
          </w:tcPr>
          <w:p>
            <w:pPr>
              <w:tabs>
                <w:tab w:val="left" w:pos="596"/>
              </w:tabs>
              <w:autoSpaceDE w:val="0"/>
              <w:autoSpaceDN w:val="0"/>
              <w:spacing w:line="400" w:lineRule="exact"/>
              <w:ind w:left="7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内</w:t>
            </w:r>
            <w:r>
              <w:rPr>
                <w:rFonts w:hint="eastAsia" w:ascii="方正仿宋简体" w:hAnsi="方正仿宋简体" w:eastAsia="方正仿宋简体" w:cs="方正仿宋简体"/>
                <w:sz w:val="26"/>
                <w:szCs w:val="26"/>
                <w:lang w:val="zh-CN" w:bidi="zh-CN"/>
              </w:rPr>
              <w:tab/>
            </w:r>
            <w:r>
              <w:rPr>
                <w:rFonts w:hint="eastAsia" w:ascii="方正仿宋简体" w:hAnsi="方正仿宋简体" w:eastAsia="方正仿宋简体" w:cs="方正仿宋简体"/>
                <w:sz w:val="26"/>
                <w:szCs w:val="26"/>
                <w:lang w:val="zh-CN" w:bidi="zh-CN"/>
              </w:rPr>
              <w:t>容</w:t>
            </w:r>
          </w:p>
        </w:tc>
        <w:tc>
          <w:tcPr>
            <w:tcW w:w="2547" w:type="dxa"/>
            <w:vAlign w:val="center"/>
          </w:tcPr>
          <w:p>
            <w:pPr>
              <w:autoSpaceDE w:val="0"/>
              <w:autoSpaceDN w:val="0"/>
              <w:spacing w:line="400" w:lineRule="exact"/>
              <w:ind w:right="271"/>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最低使用年限（年）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restart"/>
            <w:vAlign w:val="center"/>
          </w:tcPr>
          <w:p>
            <w:pPr>
              <w:autoSpaceDE w:val="0"/>
              <w:autoSpaceDN w:val="0"/>
              <w:spacing w:line="400" w:lineRule="exact"/>
              <w:ind w:firstLine="520" w:firstLineChars="200"/>
              <w:jc w:val="left"/>
              <w:rPr>
                <w:rFonts w:ascii="方正仿宋简体" w:hAnsi="方正仿宋简体" w:eastAsia="方正仿宋简体" w:cs="方正仿宋简体"/>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水工机械</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殡葬设备及用品</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铁路运输设备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水上交通运输设备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航空器及其配套设备</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专用仪器仪表</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文艺设备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体育设备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娱乐设备</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restart"/>
            <w:vAlign w:val="center"/>
          </w:tcPr>
          <w:p>
            <w:pPr>
              <w:autoSpaceDE w:val="0"/>
              <w:autoSpaceDN w:val="0"/>
              <w:spacing w:line="400" w:lineRule="exact"/>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家具、用具及装具</w:t>
            </w:r>
          </w:p>
        </w:tc>
        <w:tc>
          <w:tcPr>
            <w:tcW w:w="4501" w:type="dxa"/>
            <w:vAlign w:val="center"/>
          </w:tcPr>
          <w:p>
            <w:pPr>
              <w:autoSpaceDE w:val="0"/>
              <w:autoSpaceDN w:val="0"/>
              <w:spacing w:line="400" w:lineRule="exact"/>
              <w:ind w:left="10"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家具</w:t>
            </w:r>
          </w:p>
        </w:tc>
        <w:tc>
          <w:tcPr>
            <w:tcW w:w="2547" w:type="dxa"/>
            <w:vAlign w:val="center"/>
          </w:tcPr>
          <w:p>
            <w:pPr>
              <w:autoSpaceDE w:val="0"/>
              <w:autoSpaceDN w:val="0"/>
              <w:spacing w:line="400" w:lineRule="exact"/>
              <w:ind w:left="276" w:right="271"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29" w:type="dxa"/>
            <w:vMerge w:val="continue"/>
            <w:tcBorders>
              <w:top w:val="nil"/>
            </w:tcBorders>
            <w:vAlign w:val="center"/>
          </w:tcPr>
          <w:p>
            <w:pPr>
              <w:autoSpaceDE w:val="0"/>
              <w:autoSpaceDN w:val="0"/>
              <w:spacing w:line="400" w:lineRule="exact"/>
              <w:ind w:firstLine="520" w:firstLineChars="200"/>
              <w:jc w:val="left"/>
              <w:rPr>
                <w:rFonts w:ascii="方正仿宋简体" w:hAnsi="方正仿宋简体" w:eastAsia="方正仿宋简体" w:cs="方正仿宋简体"/>
                <w:kern w:val="0"/>
                <w:sz w:val="26"/>
                <w:szCs w:val="26"/>
                <w:lang w:val="zh-CN" w:bidi="zh-CN"/>
              </w:rPr>
            </w:pPr>
          </w:p>
        </w:tc>
        <w:tc>
          <w:tcPr>
            <w:tcW w:w="4501" w:type="dxa"/>
            <w:vAlign w:val="center"/>
          </w:tcPr>
          <w:p>
            <w:pPr>
              <w:autoSpaceDE w:val="0"/>
              <w:autoSpaceDN w:val="0"/>
              <w:spacing w:line="400" w:lineRule="exact"/>
              <w:ind w:left="12" w:firstLine="520" w:firstLineChars="200"/>
              <w:jc w:val="left"/>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用具、装具</w:t>
            </w:r>
          </w:p>
        </w:tc>
        <w:tc>
          <w:tcPr>
            <w:tcW w:w="2547" w:type="dxa"/>
            <w:vAlign w:val="center"/>
          </w:tcPr>
          <w:p>
            <w:pPr>
              <w:autoSpaceDE w:val="0"/>
              <w:autoSpaceDN w:val="0"/>
              <w:spacing w:line="400" w:lineRule="exact"/>
              <w:ind w:left="5" w:firstLine="520" w:firstLineChars="200"/>
              <w:jc w:val="center"/>
              <w:rPr>
                <w:rFonts w:ascii="方正仿宋简体" w:hAnsi="方正仿宋简体" w:eastAsia="方正仿宋简体" w:cs="方正仿宋简体"/>
                <w:sz w:val="26"/>
                <w:szCs w:val="26"/>
                <w:lang w:val="zh-CN" w:bidi="zh-CN"/>
              </w:rPr>
            </w:pPr>
            <w:r>
              <w:rPr>
                <w:rFonts w:hint="eastAsia" w:ascii="方正仿宋简体" w:hAnsi="方正仿宋简体" w:eastAsia="方正仿宋简体" w:cs="方正仿宋简体"/>
                <w:sz w:val="26"/>
                <w:szCs w:val="26"/>
                <w:lang w:val="zh-CN" w:bidi="zh-CN"/>
              </w:rPr>
              <w:t>5</w:t>
            </w:r>
          </w:p>
        </w:tc>
      </w:tr>
    </w:tbl>
    <w:p>
      <w:pPr>
        <w:spacing w:line="400" w:lineRule="exact"/>
        <w:ind w:firstLine="520" w:firstLineChars="200"/>
        <w:jc w:val="left"/>
        <w:rPr>
          <w:rFonts w:ascii="方正仿宋简体" w:hAnsi="方正仿宋简体" w:eastAsia="方正仿宋简体" w:cs="方正仿宋简体"/>
          <w:sz w:val="26"/>
          <w:szCs w:val="26"/>
        </w:rPr>
        <w:sectPr>
          <w:type w:val="nextColumn"/>
          <w:pgSz w:w="11900" w:h="16838"/>
          <w:pgMar w:top="1417" w:right="1701" w:bottom="1417" w:left="1701" w:header="850" w:footer="850" w:gutter="0"/>
          <w:cols w:space="720" w:num="1"/>
          <w:docGrid w:type="lines" w:linePitch="366" w:charSpace="0"/>
        </w:sectPr>
      </w:pP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关于深化高等教育领域简政放权放管结合</w:t>
      </w:r>
    </w:p>
    <w:p>
      <w:pPr>
        <w:spacing w:line="400" w:lineRule="exact"/>
        <w:ind w:firstLine="640" w:firstLineChars="200"/>
        <w:jc w:val="center"/>
        <w:rPr>
          <w:rFonts w:ascii="方正小标宋简体" w:hAnsi="宋体" w:eastAsia="方正小标宋简体" w:cs="宋体"/>
          <w:b/>
          <w:bCs/>
          <w:color w:val="000000"/>
          <w:sz w:val="32"/>
          <w:szCs w:val="32"/>
          <w:lang w:val="zh-CN"/>
        </w:rPr>
      </w:pPr>
      <w:r>
        <w:rPr>
          <w:rFonts w:hint="eastAsia" w:ascii="方正小标宋简体" w:hAnsi="宋体" w:eastAsia="方正小标宋简体" w:cs="宋体"/>
          <w:b/>
          <w:bCs/>
          <w:color w:val="000000"/>
          <w:sz w:val="32"/>
          <w:szCs w:val="32"/>
          <w:lang w:val="zh-CN"/>
        </w:rPr>
        <w:t>优化服务改革的实施意见</w:t>
      </w:r>
    </w:p>
    <w:p>
      <w:pPr>
        <w:autoSpaceDE w:val="0"/>
        <w:autoSpaceDN w:val="0"/>
        <w:spacing w:line="400" w:lineRule="exact"/>
        <w:ind w:left="511" w:firstLine="520" w:firstLineChars="200"/>
        <w:jc w:val="center"/>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鲁教法发〔2018〕1 号</w:t>
      </w:r>
    </w:p>
    <w:p>
      <w:pPr>
        <w:autoSpaceDE w:val="0"/>
        <w:autoSpaceDN w:val="0"/>
        <w:spacing w:line="400" w:lineRule="exact"/>
        <w:ind w:left="511" w:firstLine="520" w:firstLineChars="200"/>
        <w:jc w:val="left"/>
        <w:rPr>
          <w:rFonts w:ascii="方正仿宋简体" w:hAnsi="方正仿宋简体" w:eastAsia="方正仿宋简体" w:cs="方正仿宋简体"/>
          <w:sz w:val="26"/>
          <w:szCs w:val="26"/>
          <w:lang w:val="zh-CN" w:bidi="zh-CN"/>
        </w:rPr>
      </w:pPr>
    </w:p>
    <w:p>
      <w:pPr>
        <w:autoSpaceDE w:val="0"/>
        <w:autoSpaceDN w:val="0"/>
        <w:spacing w:line="400" w:lineRule="exact"/>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各市人民政府，省政府各部门、各直属机构，各高等院校：</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为全面贯彻党的十九大精神，认真落实《教育部等五部门关于深化高等教育领域简政放权放管结合优化服务改革的若干意见》（教政法〔2017〕7 号），深入推进我省高等教育综合改革，让高校拥有更大办学自主权，激发高校办学活力，经省政府同意，现就深化高等教育领域简政放权放管结合优化服务改革提出以下实施意见。</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一、简政放权，落实和扩大高校办学自主权</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高校自主设置内设机构。高校按照精简、效能和总量控制的原则，根据办学实际需要，自主确定党政管理机构以及教学、科研、教辅等内设机构的设置方案，报机构编制部门备案，内设机构人员配备由学校自主确定。鼓励高校推进内设机构取消行政级别试点，管理人员实行职员制。改革后要保障高校内设机构人员享有相应的晋升、交流、任职、薪酬及相关待遇。</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优化高校用人环境。高校要围绕主业、突出重点、支持创新，在人员控制总量内，根据事业发展、学科建设和队伍建设需要，按规定自主制订招聘或解聘的条件和标准，自主公开招聘各类人才，可采取考察方式招聘紧缺的专业人才、高层次人才。引进高层次人才和招聘急需紧缺人才，没有岗位空缺的，可突破岗位总量、最高等级和结构比例限制，按规定程序设置特设岗位，按相关程序办理人事关系，确定岗位薪资。</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完善高校用人管理。高校在人员控制总量内，按规定自主制定岗位设置方案，并根据岗位设置方案自主做好竞聘上岗、按岗聘用、合同管理。对总量内人员，高校与其签订聘用合同，实行统一的事业单位人事管理制度，同工同酬、同等待遇。事业单位对因履行职能需要购买辅助性服务的，应当按照政府采购有关规定执行，相关人员不纳入人员控制总量管理。高校可根据国家和省有关规定，自主制订教师到企业兼职从事 科技成果转化活动的办法和离岗创业办法。</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四）完善高校教师职称评价方法。进一步完善高校职称自主评价、按岗聘用机制。高校自主制订本校教师职称评审办法和操作方案，并报教育、人力资源社会保障部门及高校主管部门备案。从事实验技术教学的教师可根据岗位资格条件、本人工作能力和业绩，参与正高级专业技术岗位的竞聘上岗。高校要将师德表现作为评聘的首要条件，提高教学业绩在评聘中的比重。按照哲学社会科学、自然科学等不同学科领域，基础研究、应用研究等不同研究类型，建立分类评价标准。完善同行专家评价机制，建立以“代表性成果”和实际贡献为主要内容的评价方式。教育、人力资源社会保障等部门要加强监管， 对高校职称评审工作进行抽查，对因把关不严、程序不规范， 造成投诉较多、争议较大的高校，要给予警告、责令整改；对违法违纪的责任人员，按照有关规定给予处理。</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五）健全高校薪酬分配制度。人力资源社会保障、财政等部门要支持高校建立健全有利于提高竞争力的内部分配机制。在核定绩效工资总量时，充分考虑高校特点，重点加大对高层次人才集中、服务国家重大战略需求、着力培养拔尖创新人才高校的倾斜力度。高校在核定的绩效工资总量内，根据备案人员总量、当地经济发展水平、办学层次、高校特点和发展要求等因素，自主确定本校绩效工资结构，研究制定灵活多样的内 部分配形式和分配办法。</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六）改进高校经费使用管理。财政部门要完善高校预算拨款制度，优化高等教育拨款结构，加大基本支出保障力度，基本支出占比较低的地方要进一步优化结构，合理安排基本支出。改进项目管理方式，完善资金管理办法，采取额度管理、自主调整等措施，进一步扩大高校项目资金统筹使用权。扩大高校资产处置权限，适当提高资产处置的备案和报批标准，强化高校资产管理的主体责任。</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七）落实科研经费管理自主权。高校按规定制定科研经费管理办法，用好预算调剂权限。提高间接费用比重，取消绩效支出比例限制，加大绩效激励力度。明确劳务费开支范围，不设比例限制。改进结转结余资金留用处理方式，科研项目实施期间，年度剩余资金可结转下一年度继续使用。高校对其持有的科技成果，可以自主决定转让、许可或者作价投资，除涉及国家秘密、国家安全外，不需要审批或备案。科技成果转移转化收益全部留归学校，纳入单位预算，不上缴国库；在对完成、转化科技成果作出重要贡献的人员给予奖励和报酬后，主要用于科学技术研究与成果转化等工作。科技成果转移转化的奖励和报酬支出，纳入单位绩效工资管理，不作为绩效工资调控基数。高校利用社会资金开展技术攻关、提供科技服务的科研项目，可按合同约定自主支配经费。</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八）扩大教育教学自主权。高校根据社会需求、办学条件和国家核定办学规模，制定招生方案，自主调节系科招生比例。在办学水平较高的本科高校部分专业开展综合评价招生试点。高校根据经济社会发展需求，自主调整优化同一层次研究生类型结构，加快发展专业学位研究生教育。高校要在完成国家规定的教学任务、使用统一教材的基础上，自主制定教学计划、选编专业教材、组织教学活动。加快推进全面学分制等教学管理制度改革，扩大学分制收费试点范围，到 2020 年，全省本科高校和部分高职（高专）院校全面实行学分制，全省高校基本实施学分制收费。探索推进校企合作办学收费改革。</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二、健全高校治理机制，管好用好自主权</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落实党委管党治党、办学育人的主体责任。坚持党委领导下的校长负责制，高校党委切实发挥领导核心作用，统一领导学校工作，履行党章等规定的各项职责，把握学校发展方向，决定学校重大事项，监督重大决议执行，保证以人才培养为中心的各项任务完成。高校党委要履行管党治党、办学育人的主体责任，领导学校全面贯彻落实党的教育方针，办好中国特色社会主义大学。坚持立德树人，坚持思想政治理论课主导、学科专业课融合渗透、校园文化熏陶培育和实践活动感知体悟“四位一体”有机统一，不断提高德育工作的针对性和实效性。高校党委按照干部管理权限负责干部的选拔、教育、培养、考核和监督，讨论决定学校内部组织机构的设置及其负责人的人选，依照有关程序推荐校级领导干部和后备干部人选。</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保障校长依法行使职权。校长是高校的法定代表人和行政主要负责人，在学校党委领导下，主持学校日常行政工作，贯彻党的教育方针，组织实施学校党委有关决议，行使高等教育法等规定的各项职权，全面负责教学、科研、行政管理工作。校长办公会议是学校行政议事决策机构，主要研究提出拟由党委讨论决定的重要事项方案，具体部署落实党委决议的有关措施，研究处理教学、科研、行政管理工作。</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完善学术治理与民主监督。健全以学术委员会为核心的学术管理体系与组织架构，并将学术委员会作为校内最高学术机构，统筹行使学术事务的决策、审议、评定和咨询等职权。校党委书记和校长一般不担任学术委员会负责人，不担任科研项目主要负责人。强化高校理事会作为支持学校科学决策、民主监督、社会参与的重要作用。</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四）推进高校二级学院取消行政级别改革。理顺校院两级管理体制，提高二级学院管理的专业化水平。进一步扩大高校二级学院取消行政级别试点，完善制度建设。取消行政级别后，二级学院领导人员在职务晋升、校内外交流任职等方面， 与高校党政管理机构中层管理人员同等对待，政治待遇不变。二级学院院长实行任期制，每届任期不超过 5 年，连续任职一般不超过两届；实行任期目标责任制，加强考核监督，激发干事创业活力，促进人才流动。</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五）健全法律顾问制度。高校要确定机构专门负责法律事务和依法治理工作，聘任专任法律顾问，建立以法制机构工作人员为主体，吸收法学专家和律师参加的法律顾问队伍。保证法律顾问在学校依法决策、依法治校、依法维权中发挥积极作用。高校在讨论、决定重大事项之前，应当听取法律顾问的法律意见。依照有关规定应当听取法律顾问的法律意见而未听取的，或者法律顾问认为不合法不合规的事项，不得提交学校讨论、作出决定。</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（六）强化信息公开与社会监督。积极推进高校重大决策、重大事项、重要制度等校务公开。高校每年定期主动向社会公 开发布年度报告。完善信息公开制度，明确公开的内容、范围、方式、时限和审批程序。建立新闻发言人制度，及时准确回应 师生和社会关切。畅通监督渠道，发挥社会公众、媒体等力量 在监督中的作用。利用现代信息技术手段，提高工作透明度， 增强信息公开实效，让权力在阳光下运行。</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三、强化监管，优化服务，为高等教育改革发展创造良好 环境</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一）构建事中事后监管体系。各市、各部门要进一步转变职能和管理方式，支持高校适应创新发展需要，推进治理结构改革。要深入推进管办评分离，切实履行监管职责。创新监管方式和手段，通过完善信用机制、“双随机”抽查、行政执法、督导、第三方评估等加强事中事后监管。</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（二）加强协调与指导。各市、各部门要树立全局意识， 加强协调，相互配合，整体推进。要引导高校合理定位，办出特色，防止“同质化”。要及时解决工作中发现的问题，提高管理服务水平。</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三）营造良好改革环境。各市、各部门要简化优化服务流程，精简和规范办事程序，缩短办理时限，改进服务质量，让高校教学科研人员从过多过苛的要求、繁琐的表格中解放出来。依托“互联网+”，积极推动高校公共服务事项网上办理， 提高办事效率。抓紧修改或废止影响高校发展和教学科研人员积极性的、不合时宜的政策文件，保持改革政策协调一致，确保各项政策措施落到实处。做好改革的总结推广和宣传引导工作，营造良好氛围。</w:t>
      </w:r>
    </w:p>
    <w:p>
      <w:pPr>
        <w:autoSpaceDE w:val="0"/>
        <w:autoSpaceDN w:val="0"/>
        <w:spacing w:line="400" w:lineRule="exact"/>
        <w:ind w:firstLine="520" w:firstLineChars="2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3117" w:firstLineChars="1199"/>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山东省教育厅 山东省机构编制委员会办公室</w:t>
      </w:r>
      <w:bookmarkStart w:id="17" w:name="2018关于印发山东省政府采购履约验收管理暂行办法的通知"/>
      <w:bookmarkEnd w:id="17"/>
      <w:bookmarkStart w:id="18" w:name="关于印发山东省政府采购履约验收管理暂行办法的通知"/>
      <w:bookmarkEnd w:id="18"/>
    </w:p>
    <w:p>
      <w:pPr>
        <w:autoSpaceDE w:val="0"/>
        <w:autoSpaceDN w:val="0"/>
        <w:spacing w:line="400" w:lineRule="exact"/>
        <w:ind w:firstLine="3117" w:firstLineChars="1199"/>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山东省发展和改革委员会山东省财政厅</w:t>
      </w:r>
    </w:p>
    <w:p>
      <w:pPr>
        <w:autoSpaceDE w:val="0"/>
        <w:autoSpaceDN w:val="0"/>
        <w:spacing w:line="400" w:lineRule="exact"/>
        <w:ind w:firstLine="3117" w:firstLineChars="1199"/>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山东省人力资源和社会保障厅山东省物价局</w:t>
      </w: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2018年1月22日</w:t>
      </w: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bCs/>
          <w:iCs/>
          <w:sz w:val="26"/>
          <w:szCs w:val="26"/>
          <w:lang w:val="zh-CN" w:bidi="zh-CN"/>
        </w:rPr>
      </w:pPr>
    </w:p>
    <w:p>
      <w:pPr>
        <w:autoSpaceDE w:val="0"/>
        <w:autoSpaceDN w:val="0"/>
        <w:spacing w:line="400" w:lineRule="exact"/>
        <w:ind w:firstLine="4680" w:firstLineChars="1800"/>
        <w:jc w:val="left"/>
        <w:rPr>
          <w:rFonts w:ascii="方正仿宋简体" w:hAnsi="方正仿宋简体" w:eastAsia="方正仿宋简体" w:cs="方正仿宋简体"/>
          <w:color w:val="303030"/>
          <w:sz w:val="26"/>
          <w:szCs w:val="26"/>
          <w:lang w:val="zh-CN" w:bidi="zh-CN"/>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(二)资产处置</w:t>
      </w: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keepNext/>
        <w:keepLines/>
        <w:spacing w:before="1660" w:line="400" w:lineRule="exact"/>
        <w:ind w:firstLine="800" w:firstLineChars="200"/>
        <w:jc w:val="center"/>
        <w:outlineLvl w:val="0"/>
        <w:rPr>
          <w:rFonts w:ascii="方正小标宋简体" w:hAnsi="方正仿宋简体" w:eastAsia="方正小标宋简体" w:cs="方正仿宋简体"/>
          <w:color w:val="000000"/>
          <w:sz w:val="40"/>
          <w:szCs w:val="40"/>
        </w:rPr>
      </w:pPr>
      <w:r>
        <w:rPr>
          <w:rFonts w:hint="eastAsia" w:ascii="方正小标宋简体" w:hAnsi="方正仿宋简体" w:eastAsia="方正小标宋简体" w:cs="方正仿宋简体"/>
          <w:color w:val="000000"/>
          <w:sz w:val="40"/>
          <w:szCs w:val="40"/>
        </w:rPr>
        <w:t>山东省财政厅文件</w:t>
      </w:r>
    </w:p>
    <w:p>
      <w:pPr>
        <w:pStyle w:val="23"/>
        <w:spacing w:line="400" w:lineRule="exact"/>
        <w:ind w:firstLine="520" w:firstLineChars="200"/>
        <w:jc w:val="center"/>
        <w:rPr>
          <w:rFonts w:ascii="方正仿宋简体" w:hAnsi="方正仿宋简体" w:eastAsia="方正仿宋简体" w:cs="方正仿宋简体"/>
        </w:rPr>
      </w:pPr>
      <w:r>
        <w:rPr>
          <w:rFonts w:hint="eastAsia" w:ascii="方正仿宋简体" w:hAnsi="方正仿宋简体" w:eastAsia="方正仿宋简体" w:cs="方正仿宋简体"/>
        </w:rPr>
        <w:t>鲁财资〔2017〕97号</w:t>
      </w:r>
    </w:p>
    <w:p>
      <w:pPr>
        <w:pStyle w:val="27"/>
        <w:keepNext/>
        <w:keepLines/>
        <w:spacing w:after="100" w:line="400" w:lineRule="exact"/>
        <w:ind w:firstLine="640" w:firstLineChars="200"/>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关于省直部门所属高校国有资产处置管理</w:t>
      </w:r>
    </w:p>
    <w:p>
      <w:pPr>
        <w:pStyle w:val="27"/>
        <w:keepNext/>
        <w:keepLines/>
        <w:spacing w:after="100" w:line="400" w:lineRule="exact"/>
        <w:ind w:firstLine="640" w:firstLineChars="200"/>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有关问题的通知</w:t>
      </w:r>
    </w:p>
    <w:p>
      <w:pPr>
        <w:pStyle w:val="23"/>
        <w:spacing w:line="400" w:lineRule="exact"/>
        <w:ind w:firstLine="0"/>
        <w:rPr>
          <w:rFonts w:ascii="方正仿宋简体" w:hAnsi="方正仿宋简体" w:eastAsia="方正仿宋简体" w:cs="方正仿宋简体"/>
        </w:rPr>
      </w:pPr>
      <w:r>
        <w:rPr>
          <w:rFonts w:hint="eastAsia" w:ascii="方正仿宋简体" w:hAnsi="方正仿宋简体" w:eastAsia="方正仿宋简体" w:cs="方正仿宋简体"/>
        </w:rPr>
        <w:t>省直有关部门：</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根据《教育部等五部门关于深化高等教育领域简政放权放管结合优化服务改革的若干意见》（教政法〔2017〕7号）有关精神，参照《财政部关于印发〈中央部门所属高校国有资产处置管理补充规定〉的通知》（财资〔2017〕72号）有关规定，现就省直部门所属高校国有资产处置管理有关问题通知如下：</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一、进一步扩大省直部门所属高校资产处置权限。省直部门所属高校对其占有、使用的国有资产进行产权转让或产权注销，由省财政厅授权主管省直部门进行审批。省直有关部门应当于批复之日起15个工作日内，将批复文件报省财政厅备案。其中，已达使用年限且应淘汰报废的资产处置，授权高校自主处置，处置结果按季度报主管省直部门备案；已达使用年限仍可继续使用的，应当继续使用。</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二、科学合理制定资产使用年限标准。省直有关部门根据所属高校实际情况，组织所属高校分类制定资产使用年限标准，会同省财政厅印发执行，并根据经济社会发展水平变化情况适时调整。</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三、规范高校资产处置收益管理。高校处置涉及科技成果转 化资产取得的收益，按照《中华人民共和国促进科技成果转化法》和《国务院关于印发实施〈中华人民共和国促进科技成果转化法〉若干规定的通知》（国发〔2016J 16号）、《中华人民共和国专利法》及其实施细则、《山东省人民政府办公厅转发省财政厅等部门关于改革省属高校科研院所科技成果使用处置和收益管理 制度的意见的通知》（鲁政办发〔2015〕42号）等有关规定执行。除上述情形以外的资产处置收入，按照省财政厅《关于印发〈山东省省级行政事业国有资产处置管理办法〉的通知》（鲁财资〔2017〕36号）有关规定执行。</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四、及时进行账务处理。省直部门所属高校资产处置后，应当依据相关资产处置批复和现行事业单位财务会计制度的有关规定，及时进行账务处理，确保账实相符。</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五、落实高校国有资产监管的主体责任。各高校要牢固树立 勤俭办学理念，强化高校资产管理的主体责任，建立健全国有资产监督管理责任制，提高内部控制水平。省直有关部门要加强对所属高校国有资产管理的指导监督力度，进一步完善监管体系，明确监管职责权限，定期进行监督检查，及时发现国有资产管理 过程中存在的突出问题、管理漏洞和薄弱环节，并督促加以改进。</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六、建立国有资产处置年度报告制度。省直有关部门应当在年度终了后3个月内，将在授权范围内审批的上年度资产处置情况，以及所属高校自主审批的资产处置情况书面报告省财政厅。报告的主要内容包括处置资产的原因、账面原值和处置方式、授杈管理取得的成效、存在的问题和改进建议等。省财政厅将对省直部门和高校资产处置情况适时开展专项检查。</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七、本通知所指省直部门所属高校是指省直部门所属的高等本科学校和高职高专学校。</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本通知由省财政厅负责解释，自2018年1月1日起施行。</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4290" w:firstLineChars="1650"/>
        <w:rPr>
          <w:rFonts w:ascii="方正仿宋简体" w:hAnsi="方正仿宋简体" w:eastAsia="方正仿宋简体" w:cs="方正仿宋简体"/>
        </w:rPr>
      </w:pPr>
      <w:r>
        <w:rPr>
          <w:rFonts w:hint="eastAsia" w:ascii="方正仿宋简体" w:hAnsi="方正仿宋简体" w:eastAsia="方正仿宋简体" w:cs="方正仿宋简体"/>
        </w:rPr>
        <w:t>山东省财政厅</w:t>
      </w:r>
    </w:p>
    <w:p>
      <w:pPr>
        <w:pStyle w:val="23"/>
        <w:spacing w:line="400" w:lineRule="exact"/>
        <w:ind w:firstLine="4030" w:firstLineChars="1550"/>
        <w:rPr>
          <w:rFonts w:ascii="方正仿宋简体" w:hAnsi="方正仿宋简体" w:eastAsia="方正仿宋简体" w:cs="方正仿宋简体"/>
        </w:rPr>
      </w:pPr>
      <w:r>
        <w:rPr>
          <w:rFonts w:hint="eastAsia" w:ascii="方正仿宋简体" w:hAnsi="方正仿宋简体" w:eastAsia="方正仿宋简体" w:cs="方正仿宋简体"/>
        </w:rPr>
        <w:t>2017年12月29日</w:t>
      </w:r>
    </w:p>
    <w:p>
      <w:pPr>
        <w:autoSpaceDE w:val="0"/>
        <w:autoSpaceDN w:val="0"/>
        <w:spacing w:line="400" w:lineRule="exact"/>
        <w:ind w:left="171" w:firstLine="520" w:firstLineChars="200"/>
        <w:jc w:val="left"/>
        <w:rPr>
          <w:rFonts w:ascii="方正仿宋简体" w:hAnsi="方正仿宋简体" w:eastAsia="方正仿宋简体" w:cs="方正仿宋简体"/>
          <w:kern w:val="0"/>
          <w:sz w:val="26"/>
          <w:szCs w:val="26"/>
          <w:lang w:val="zh-CN" w:bidi="zh-CN"/>
        </w:rPr>
      </w:pPr>
      <w:bookmarkStart w:id="19" w:name="2017山东省省级行政事业国有资产处置管理办法（正文）"/>
      <w:bookmarkEnd w:id="19"/>
      <w:bookmarkStart w:id="20" w:name="2017山东省省级行政事业国有资产处置管理办法"/>
      <w:bookmarkEnd w:id="20"/>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(三)共享共用</w:t>
      </w: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pStyle w:val="29"/>
        <w:spacing w:after="0" w:line="400" w:lineRule="exact"/>
        <w:ind w:right="0"/>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关于加强高等学校科研基础设施和科研仪器开放共享的指导意见</w:t>
      </w:r>
    </w:p>
    <w:p>
      <w:pPr>
        <w:pStyle w:val="29"/>
        <w:spacing w:after="0" w:line="400" w:lineRule="exact"/>
        <w:ind w:right="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教技厅[2015]4号</w:t>
      </w:r>
    </w:p>
    <w:p>
      <w:pPr>
        <w:pStyle w:val="29"/>
        <w:spacing w:after="0" w:line="400" w:lineRule="exact"/>
        <w:ind w:right="0"/>
        <w:rPr>
          <w:rFonts w:ascii="方正小标宋简体" w:hAnsi="方正仿宋简体" w:eastAsia="方正小标宋简体" w:cs="方正仿宋简体"/>
          <w:sz w:val="32"/>
          <w:szCs w:val="32"/>
        </w:rPr>
      </w:pP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各省、自治区、直辖市教育厅（教委），新疆生产建设兵团教育局，有关部门（单位）教育（科技）司（局），部属各高等学校：</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为贯彻落实《国务院关于国家重大科研基础设施和大型科研仪器向社会开放的意见》（国发〔2014〕70号）精神，切实推进高等学校科研基础设施和科研仪器（以下简称科研设施与仪器）的全面开放、充分共享，提高科研设施与仪器使用、配置的效率和效益，提出以下指导意见。</w:t>
      </w:r>
    </w:p>
    <w:p>
      <w:pPr>
        <w:pStyle w:val="28"/>
        <w:spacing w:line="400" w:lineRule="exact"/>
        <w:ind w:firstLine="520" w:firstLineChars="20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一、总体目标</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1.加强开放共享，服务创新。加快推进高等学校科研设施与仪器在保障本校教学科研基本需求的前提下向其他高校、科研院所、企业、社会研发组织等社会用户开放共享，并提供专业化服务，实现资源共享，充分释放服务潜能，支持创新创业，支持小型微型企业发展，为实施创新驱动发展战略和创新创业提供有效支撑。</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2.合理配置资源，提高效率。有力促进高等学校统筹管理现有科研设施与仪器，合理布局新增科研设施与仪器，避免重复建设和购置，杜绝闲置浪费现象，切实提高科研设施与仪器的利用效率和效益。</w:t>
      </w:r>
    </w:p>
    <w:p>
      <w:pPr>
        <w:pStyle w:val="28"/>
        <w:spacing w:line="400" w:lineRule="exact"/>
        <w:ind w:firstLine="520" w:firstLineChars="20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二、组织管理</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1.加强引导和督查。高等学校的上级主管部门将高等学校科研设施与仪器开放共享水平和评估结果作为基地管理、科研管理的考评内容之一，把开放共享综合考评结果与规划发展再投入安排相结合，引导高等学校科研设施与仪器的共享共用。主管部门指导和监督高等学校向社会公布科研设施与仪器开放共享制度、实施情况及具体做法，并开展不定期督查。</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2.强化法人主体责任。高等学校是本单位科研设施与仪器开放共享的责任主体，要强化法人责任，切实履行实施科研设施与仪器开放共享职责。学校应设立由校领导牵头的工作组，统筹协调各相关职能部门，并明确专门管理机构和管理职能，制定本校科研设施与仪器开放共享实施细则，报上级主管部门备案，并负责具体实施。</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3.明确分级管理职责。高等学校应建立学校和下属二级单位共同推进本校科研设施与仪器开放共享的管理体制，明确学校、院系、研究团队分级管理职责，协同做好科研设施与仪器开放共享工作。</w:t>
      </w:r>
    </w:p>
    <w:p>
      <w:pPr>
        <w:pStyle w:val="28"/>
        <w:spacing w:line="400" w:lineRule="exact"/>
        <w:ind w:firstLine="520" w:firstLineChars="20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三、重点工作</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1.建立开放共享机制。高等学校应建立科学有效的科研设施与仪器开放共享服务管理制度，认真梳理本校已有科研设施与仪器整体情况，包括设备原值、功能类型、专业领域、运行和开放共享情况等，建立符合学校实际的科研设施与仪器开放共享机制。除涉密、功能特殊、技术要求特殊、研究目的特殊等仪器设备之外，其他用于教学科研且具有一定共性需求的科研设施与仪器，特别是单台套价值在50万元以上的科研设施与仪器，均应纳入开放共享范围，提供开放共享服务。</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2.建设信息服务平台。高等学校应建立科研设施与仪器管理和开放共享的网络信息和服务平台，实现科研设施与仪器配置、管理、服务、监督、评价的有机衔接，并根据主管部门和地方政府要求统一纳入国家与地方网络管理平台，逐步形成跨学校、跨领域、多层次的网络服务体系。</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3.加强人才队伍建设。高等学校根据本单位科研设施与仪器开放、运行、使用和维护的技术需求，合理配置实验技术人员岗位，建立专业化、职业化技术服务队伍。要制定实验技术人员的岗位、培训、薪酬、评价和激励政策，充分调动技术服务人员积极性、稳定实验技术人才队伍，不断提高实验技术水平和开放服务水平。</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4.创新完善管理模式。高等学校可以借鉴分析测试中心或同类型大型仪器公共平台的模式，建立学校实体公共服务平台集中集约管理，也可以通过信息化手段建立分散配置但统一管理的虚拟公共平台，鼓励探索联合企业和社会力量参与科研设施与仪器服务机构建设管理和开展社会化服务的新模式。</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5.建立成本核算和服务收费管理机制。高等学校应按照成本补偿和非盈利性原则，建立科研设施与仪器开放服务收费管理机制，合理制定公开透明的成本核算和服务收费标准。开放共享服务收入纳入学校预算，由学校统一管理，并接受上级主管部门的监督。</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6.建立分类考核评价办法。对于通用科研设施与仪器，重点评价用户使用率、用户评价、有效服务机时、服务质量以及相关研究成果的产出、水平与贡献。对于专用科研设施与仪器，重点评价是否有效使用，是否有效组织了高水平的科研设施与仪器应用专业团队以及相关研究成果的产出、水平与贡献。</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7.建立激励和调控机制。构建用户参与的绩效评价体系，探索开放共享后补助机制和校内调配制度，把科研设施与仪器开放共享效果与仪器新购和维护的资源投入挂钩，并根据开放效果和用户评价，对提供开放共享服务的单位和技术人员给予绩效奖励，调动科研设施与仪器开放共享积极性。</w:t>
      </w:r>
    </w:p>
    <w:p>
      <w:pPr>
        <w:pStyle w:val="23"/>
        <w:spacing w:line="400" w:lineRule="exact"/>
        <w:ind w:firstLine="520" w:firstLineChars="200"/>
        <w:rPr>
          <w:rFonts w:ascii="方正仿宋简体" w:hAnsi="方正仿宋简体" w:eastAsia="方正仿宋简体" w:cs="方正仿宋简体"/>
        </w:rPr>
      </w:pPr>
      <w:r>
        <w:rPr>
          <w:rFonts w:hint="eastAsia" w:ascii="方正仿宋简体" w:hAnsi="方正仿宋简体" w:eastAsia="方正仿宋简体" w:cs="方正仿宋简体"/>
        </w:rPr>
        <w:t>8.加强信息安全和知识产权保护。用户独立开展科学实验形成的知识产权由用户自主拥有，成果发表时应明确标注利用科研设施与仪器情况。高等学校要加强网络防护和网络环境下数据安全管理, 依法保护用户身份信息以及在使用科研设施与仪器过程中形成的科学数据、技术秘密和知识产权。</w:t>
      </w: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520" w:firstLineChars="200"/>
        <w:rPr>
          <w:rFonts w:ascii="方正仿宋简体" w:hAnsi="方正仿宋简体" w:eastAsia="方正仿宋简体" w:cs="方正仿宋简体"/>
        </w:rPr>
      </w:pPr>
    </w:p>
    <w:p>
      <w:pPr>
        <w:pStyle w:val="23"/>
        <w:spacing w:line="400" w:lineRule="exact"/>
        <w:ind w:firstLine="4940" w:firstLineChars="1900"/>
        <w:rPr>
          <w:rFonts w:ascii="方正仿宋简体" w:hAnsi="方正仿宋简体" w:eastAsia="方正仿宋简体" w:cs="方正仿宋简体"/>
        </w:rPr>
      </w:pPr>
      <w:r>
        <w:rPr>
          <w:rFonts w:hint="eastAsia" w:ascii="方正仿宋简体" w:hAnsi="方正仿宋简体" w:eastAsia="方正仿宋简体" w:cs="方正仿宋简体"/>
        </w:rPr>
        <w:t>教育部办公厅</w:t>
      </w:r>
    </w:p>
    <w:p>
      <w:pPr>
        <w:pStyle w:val="29"/>
        <w:spacing w:after="0" w:line="400" w:lineRule="exact"/>
        <w:ind w:right="520" w:firstLine="4680" w:firstLineChars="18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2015年12月25日</w:t>
      </w:r>
    </w:p>
    <w:p>
      <w:pPr>
        <w:spacing w:line="400" w:lineRule="exact"/>
        <w:ind w:firstLine="520" w:firstLineChars="200"/>
        <w:jc w:val="left"/>
        <w:rPr>
          <w:rFonts w:ascii="方正仿宋简体" w:hAnsi="方正仿宋简体" w:eastAsia="方正仿宋简体" w:cs="方正仿宋简体"/>
          <w:sz w:val="26"/>
          <w:szCs w:val="26"/>
        </w:rPr>
        <w:sectPr>
          <w:footerReference r:id="rId8" w:type="default"/>
          <w:pgSz w:w="11900" w:h="16838"/>
          <w:pgMar w:top="1417" w:right="1701" w:bottom="1417" w:left="1701" w:header="850" w:footer="850" w:gutter="0"/>
          <w:cols w:space="720" w:num="1"/>
          <w:docGrid w:type="lines" w:linePitch="366" w:charSpace="0"/>
        </w:sect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(四)公车管理</w:t>
      </w: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宋体" w:eastAsia="方正小标宋简体" w:cs="宋体"/>
          <w:b/>
          <w:bCs/>
          <w:color w:val="000000"/>
          <w:sz w:val="40"/>
          <w:szCs w:val="40"/>
        </w:rPr>
      </w:pPr>
      <w:r>
        <w:rPr>
          <w:rFonts w:hint="eastAsia" w:ascii="方正小标宋简体" w:hAnsi="宋体" w:eastAsia="方正小标宋简体" w:cs="宋体"/>
          <w:b/>
          <w:bCs/>
          <w:color w:val="000000"/>
          <w:sz w:val="40"/>
          <w:szCs w:val="40"/>
        </w:rPr>
        <w:t>关于加强行政事业单位机动车辆资产管理工作的通知</w:t>
      </w:r>
    </w:p>
    <w:p>
      <w:pPr>
        <w:spacing w:line="400" w:lineRule="exact"/>
        <w:ind w:firstLine="520" w:firstLineChars="200"/>
        <w:jc w:val="center"/>
        <w:rPr>
          <w:rFonts w:ascii="方正仿宋简体" w:hAnsi="方正仿宋简体" w:eastAsia="方正仿宋简体" w:cs="方正仿宋简体"/>
          <w:bCs/>
          <w:sz w:val="26"/>
          <w:szCs w:val="26"/>
        </w:rPr>
      </w:pPr>
      <w:r>
        <w:rPr>
          <w:rFonts w:hint="eastAsia" w:ascii="方正小标宋简体" w:hAnsi="宋体" w:eastAsia="方正小标宋简体" w:cs="宋体"/>
          <w:bCs/>
          <w:color w:val="000000"/>
          <w:sz w:val="26"/>
          <w:szCs w:val="26"/>
        </w:rPr>
        <w:t>鲁财资〔2011〕32号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各市、县（市、区）财政局、公安局，省直各部门，有关省属企业集团：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保障国有资产安全完整，维护国有资产合法权益，根据《行政单位国有资产管理暂行办法》（财政部令第35号）、《事业单位国有资产管理暂行办法》（财政部令第36号）、《机动车登记办法》（公安部令第102号）及国家和省行政事业国有资产管理、机动车辆登记管理有关规定，经研究，现就加强行政事业单位机动车辆资产管理有关问题通知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一、行政事业单位机动车辆资产，指行政事业单位依法取得的交通运输工具，包括摩托车、三轮汽车、载客汽车、载货汽车、专用汽车和其他机动车辆等，是行政事业单位国有资产的重要组成部分。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二、行政事业单位机动车辆资产的下列事项，应当按照同级财政部门规定的权限，报经行政事业单位主管部门审批，或经行政事业单位主管部门审核后报同级财政部门审批：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处置机动车辆资产，包括机动车辆资产的转让、调拨、置换、报废、抵顶债务等（其中：申请机动车辆资产报废，应取得公安机关出具的《机动车报废证明》，经行政事业单位主管部门或者财政部门批准后，方可将报废机动车辆交付回收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2、以机动车辆资产对外投资，即事业单位以机动车辆资产投资设立经济实体；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3、以机动车辆资产为抵押、质押获取贷款、借款，或者以机动车辆资产为担保物为他人提供担保；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4、行政事业单位合并、分立、改制、隶属关系改变等涉及机动车辆资产；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5、按规定应当由行政事业单位主管部门或财政部门审批的涉及机动车辆资产的其他事项。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三、行政事业单位机动车辆资产的下列事项，应当按照同级财政部门规定的权限，报经行政事业单位主管部门确认，或经行政事业单位主管部门审核后报同级财政部门确认：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1、机动车辆资产抵押、质押或者担保的解除；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2、取得或解除机动车辆抵押权、质押权；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3、因不可抗力丧失机动车辆资产；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4、按规定应当由行政事业单位主管部门或财政部门确认的涉及机动车辆资产的其他事项。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行政事业单位依法取得机动车辆资产，应当按规定向县级以上公安机关交通管理部门申请办理注册登记，取得机动车辆行驶证书，并按规定向同级财政部门申请办理产权登记，取得行政事业单位国有资产产权登记证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除被人民法院、人民检察院和行政执法部门依法没收并拍卖，或者被仲裁机构依法仲裁裁决，或者被人民法院调解、裁定、判决所有权转移的机动车辆资产外，县级以上公安机关交通管理部门按规定为行政事业单位办理机动车辆转移登记、抵押登记、注销登记或质押备案等，还应当审核和留存行政事业单位主管部门或财政部门出具的《山东省行政事业单位机动车辆资产管理事项审批（确认）证明》（见附件），不能提交该证明的，公安机关交通管理部门不予受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因被人民法院、人民检察院和行政执法部门依法没收并拍卖，或者被仲裁机构依法仲裁裁决，或者被人民法院调解、裁定、判决所有权转移造成的机动车辆资产损失，由行政事业单位主管部门核定，或经行政事业单位主管部门审核后报同级财政部门核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七、各级财政部门和公安机关交通管理部门应当加强协作，密切配合，确保行政事业单位机动车辆资产相关管理事项程序合法、手续完备。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八、行政事业单位机动车辆资产审批、确认事项管理办法，按同级财政部门规定执行。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请转至本级行政事业单位，并认真贯彻执行。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附件：山东省行政事业单位机动车辆资产管理事项审批（确认）证明</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4680" w:firstLineChars="18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二○一一年五月四日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w:t>
      </w:r>
    </w:p>
    <w:tbl>
      <w:tblPr>
        <w:tblStyle w:val="14"/>
        <w:tblW w:w="0" w:type="auto"/>
        <w:tblInd w:w="93" w:type="dxa"/>
        <w:shd w:val="clear" w:color="auto" w:fill="E2E2E2"/>
        <w:tblLayout w:type="autofit"/>
        <w:tblCellMar>
          <w:top w:w="0" w:type="dxa"/>
          <w:left w:w="108" w:type="dxa"/>
          <w:bottom w:w="0" w:type="dxa"/>
          <w:right w:w="108" w:type="dxa"/>
        </w:tblCellMar>
      </w:tblPr>
      <w:tblGrid>
        <w:gridCol w:w="2839"/>
        <w:gridCol w:w="5782"/>
      </w:tblGrid>
      <w:tr>
        <w:tblPrEx>
          <w:shd w:val="clear" w:color="auto" w:fill="E2E2E2"/>
          <w:tblCellMar>
            <w:top w:w="0" w:type="dxa"/>
            <w:left w:w="108" w:type="dxa"/>
            <w:bottom w:w="0" w:type="dxa"/>
            <w:right w:w="108" w:type="dxa"/>
          </w:tblCellMar>
        </w:tblPrEx>
        <w:trPr>
          <w:trHeight w:val="1558" w:hRule="atLeast"/>
        </w:trPr>
        <w:tc>
          <w:tcPr>
            <w:tcW w:w="8835" w:type="dxa"/>
            <w:gridSpan w:val="2"/>
            <w:shd w:val="clear" w:color="auto" w:fill="E2E2E2"/>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山东省行政事业单位机动车辆资产管理事项审批（确认）证明</w:t>
            </w:r>
          </w:p>
        </w:tc>
      </w:tr>
      <w:tr>
        <w:tblPrEx>
          <w:shd w:val="clear" w:color="auto" w:fill="E2E2E2"/>
          <w:tblCellMar>
            <w:top w:w="0" w:type="dxa"/>
            <w:left w:w="108" w:type="dxa"/>
            <w:bottom w:w="0" w:type="dxa"/>
            <w:right w:w="108" w:type="dxa"/>
          </w:tblCellMar>
        </w:tblPrEx>
        <w:trPr>
          <w:trHeight w:val="449" w:hRule="atLeast"/>
        </w:trPr>
        <w:tc>
          <w:tcPr>
            <w:tcW w:w="2895" w:type="dxa"/>
            <w:tcBorders>
              <w:top w:val="single" w:color="000000" w:sz="4" w:space="0"/>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行政事业单位名称</w:t>
            </w:r>
          </w:p>
        </w:tc>
        <w:tc>
          <w:tcPr>
            <w:tcW w:w="5940" w:type="dxa"/>
            <w:tcBorders>
              <w:top w:val="single" w:color="000000" w:sz="4" w:space="0"/>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行政事业单位主管部门名称</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车辆品牌型号</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车辆号牌号码</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车辆识别代码（车架号）</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车辆账面原值（元）</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tc>
      </w:tr>
      <w:tr>
        <w:tblPrEx>
          <w:shd w:val="clear" w:color="auto" w:fill="E2E2E2"/>
          <w:tblCellMar>
            <w:top w:w="0" w:type="dxa"/>
            <w:left w:w="108" w:type="dxa"/>
            <w:bottom w:w="0" w:type="dxa"/>
            <w:right w:w="108" w:type="dxa"/>
          </w:tblCellMar>
        </w:tblPrEx>
        <w:trPr>
          <w:trHeight w:val="402"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批准（确认）文号</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tc>
      </w:tr>
      <w:tr>
        <w:tblPrEx>
          <w:shd w:val="clear" w:color="auto" w:fill="E2E2E2"/>
          <w:tblCellMar>
            <w:top w:w="0" w:type="dxa"/>
            <w:left w:w="108" w:type="dxa"/>
            <w:bottom w:w="0" w:type="dxa"/>
            <w:right w:w="108" w:type="dxa"/>
          </w:tblCellMar>
        </w:tblPrEx>
        <w:trPr>
          <w:trHeight w:val="2875" w:hRule="atLeast"/>
        </w:trPr>
        <w:tc>
          <w:tcPr>
            <w:tcW w:w="2895" w:type="dxa"/>
            <w:tcBorders>
              <w:top w:val="nil"/>
              <w:left w:val="single" w:color="000000" w:sz="4" w:space="0"/>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批准（确认）事由</w:t>
            </w:r>
          </w:p>
        </w:tc>
        <w:tc>
          <w:tcPr>
            <w:tcW w:w="5940" w:type="dxa"/>
            <w:tcBorders>
              <w:top w:val="nil"/>
              <w:left w:val="nil"/>
              <w:bottom w:val="single" w:color="000000" w:sz="4" w:space="0"/>
              <w:right w:val="single" w:color="000000" w:sz="4" w:space="0"/>
            </w:tcBorders>
            <w:shd w:val="clear" w:color="auto" w:fill="E2E2E2"/>
            <w:vAlign w:val="center"/>
          </w:tcPr>
          <w:p>
            <w:pPr>
              <w:spacing w:line="400" w:lineRule="exact"/>
              <w:ind w:firstLine="520" w:firstLineChars="200"/>
              <w:jc w:val="left"/>
              <w:rPr>
                <w:rFonts w:ascii="方正仿宋简体" w:hAnsi="方正仿宋简体" w:eastAsia="方正仿宋简体" w:cs="方正仿宋简体"/>
                <w:sz w:val="26"/>
                <w:szCs w:val="26"/>
              </w:rPr>
            </w:pPr>
          </w:p>
        </w:tc>
      </w:tr>
      <w:tr>
        <w:tblPrEx>
          <w:shd w:val="clear" w:color="auto" w:fill="E2E2E2"/>
          <w:tblCellMar>
            <w:top w:w="0" w:type="dxa"/>
            <w:left w:w="108" w:type="dxa"/>
            <w:bottom w:w="0" w:type="dxa"/>
            <w:right w:w="108" w:type="dxa"/>
          </w:tblCellMar>
        </w:tblPrEx>
        <w:trPr>
          <w:trHeight w:val="2861" w:hRule="atLeast"/>
        </w:trPr>
        <w:tc>
          <w:tcPr>
            <w:tcW w:w="8835" w:type="dxa"/>
            <w:gridSpan w:val="2"/>
            <w:tcBorders>
              <w:top w:val="nil"/>
              <w:left w:val="single" w:color="000000" w:sz="4" w:space="0"/>
              <w:bottom w:val="single" w:color="000000" w:sz="4" w:space="0"/>
              <w:right w:val="single" w:color="000000" w:sz="4" w:space="0"/>
            </w:tcBorders>
            <w:shd w:val="clear" w:color="auto" w:fill="E2E2E2"/>
          </w:tcPr>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审批（确认）机构（财政部门或行政事业单位主管部门）：</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（公章）</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年月日</w:t>
            </w:r>
          </w:p>
        </w:tc>
      </w:tr>
    </w:tbl>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说明：1、本证明自2011年6月1日起启用，作为行政事业单位向公安机关交通管理部门申办机动车辆登记相关手续使用，不作为单位账务处理依据。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2、“批准（确认）事由”按照机动车辆转让、调拨、置换、报废、抵顶债务、对外投资、抵押、质押、担保等情况详细列明，除机动车辆报废、抵押、质押、担保外，应列明机动车辆转入方。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3、不以文件方式审批（确认）的，“批准（确认）文号”栏可不填。</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4、本证明由审批（确认）机构（财政部门或行政事业单位主管部门）自行填制（使用A4型纸张）。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5、本证明审批（确认）机构、公安机关交通管理部门、行政事业单位各一份。</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省委办公厅、省政府办公厅</w:t>
      </w: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山东省公务用车制度改革总体方案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认真落实党的十八大和十八届三中、四中全会精神及《党政机关厉行节约反对浪费条例》，改革公务用车制度，规范公务用车运行管理，有效降低行政成本，根据中共中央办公厅、国务院办公厅印发的《关于全面推进公务用车制度改革的指导意见》，现结合我省实际制定本方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一、指导原则和总体目标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(一)指导思想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按照中央关于厉行节约反对浪费的要求，坚持社会化、市场化方向，全面推进公务用车制度改革，合理有效配置公务用车资源，创新公务交通分类提供方式，保障公务出行，降低行政成本，积极推进廉洁型机关和节约型社会建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(二)基本原则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1.坚持创新制度、分类保障。改革公务用车实物供给方式，取消一般公务用车，普通公务出行实行社会化提供并适度补贴交通费用，从严配备定向化保障的公务用车。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2.坚持统筹协调、政策配套。妥善处理公务用车制度改革涉及的各种利益关系，分级、分类制定改革方案和配套政策，确保新旧制度平稳过渡、有机衔接。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坚持统一部署、分步实施。各地各部门按照中央和省确定的改革方向和原则制定改革实施方案，省级党政机关先行示范，市、县(市、区)、乡镇(街道)党政机关加快实行，事业单位、国有企业和国有金融企业按照中央部署有序推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4.坚持厉行节约、降低成本。公务用车制度改革完成后，全省及省级党政机关公务交通成本节支率均不得低于中央规定的比例。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(三)总体目标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2015年年底前基本完成各级党政机关公务用车制度改革。按照中央部署有序推进事业单位、国有企业和国有金融企业公务用车制度改革。通过改革，切实实现公务出行便捷合理、交通费用节约可控、车辆管理规范透明、监管问责科学有效，基本形成符合省情的新型公务用车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二、参改范围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全省各级党政机关(包括党委、人大、政府、政协、审判、检察机关，各民主党派和工商联机关，群众团体机关，参照公务员法管理的事业单位，下同)在编在岗的厅(局)级及以下公务员、参公管理人员和机关工勤编制人员，先行参加本轮改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鼓励省属厅(局)正职主要负责人和市、县(市、区)、乡(镇)党政主要负责人参加改革。确因工作需要不便取消公务用车的，允许以适当集中形式提供工作用车实物保障，但须严格规范管理，不得再领取公务交通补贴。具体范围由省公务用车制度改革领导小组研究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省安全系统公务用车改革，经批准后单独启动实施。市及市以下地税系统参加同级政府的公务用车改革。非参公管理的事业单位、国有企业和国有金融企业的公务用车改革，待中央有关政策出台后另行部署。</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三、主要任务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(一)改革公务交通保障方式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改革各级党政机关公务用车实物供给方式，取消一般公务用车，保留必要的机要通信、应急、特种专业技术用车和符合规定的一线执法执勤岗位车辆及其他车辆。改革后，城区或规定区域内普通公务出行方式由公务人员自行选择，实行社会化提供，适度发放公务交通补贴。公务交通补贴保障范围要与差旅费保障范围搞好衔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规范事业单位、国有企业和国有金融企业职务待遇和业务消费，对原符合车辆配备条件的岗位和人员，逐步按规定纳入改革，改革后不得再配备车辆;对保留的必要的国有企业、国有金融企业经营用车和事业单位业务用车实行集中管理;取消与经营和业务保障无关的车辆。事业单位、国有企业和国有金融企业公务用车制度改革要与年薪制、岗位津贴及国家相关财务管理制度等统筹考虑、相互衔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(二)合理确定党政机关公务交通补贴标准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考虑全省各级党政机关公务出行成本、经济发展水平、社会承受能力、辖区面积、自然地理环境、公务出行次数和距离、行政级别和实际承担的工作职责等因素，按照节约成本、保证公务、便于操作的要求，全省公务交通补贴划分7个补贴层级，每人每月的公务交通补贴不得高于以下标准:厅局级正职1690元、厅局级副职1560元，县处级正职1040元、县处级副职960元，乡科级正职650元、乡科级副职600元，科员办事员和机关工勤编制人员500元。各市的具体补贴标准，由各市根据本地实际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允许参加车改单位从本单位公务交通补贴总额中划出一定的比例进行单位统筹，用于解决不同岗位之间公务出行不均衡问题，统筹资金比例原则上不超过10%。具体管理办法，由各单位自行制定。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各市之间的补贴标准差距不得超过20%，同一市域内执行统一的补贴标准，省级党政机关和济南市执行同一标准。驻济南以外的省属参加车改单位执行当地的补贴标准。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根据交通成本等相关因素变化情况，公务交通补贴标准可适时适度进行调整。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(三)妥善安置司勤人员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党政机关根据改革后的实际需要，合理设置司勤人员岗位，在现有在册正式司勤人员中采取公开、平等、竞争、择优的方式确定留用人员。对未留用的在册正式司勤人员，原则上以内部消化为主，通过内部转岗、开辟新的就业岗位、提前离岗等措施妥善安置;对其他未留用的司勤人员，要做好聘用合同或劳动合同的终止、解除工作，并依法进行经济补偿，维护其合法权益，相关必要支出由各级财政安排专项经费予以保障。各级人力资源社会保障部门会同有关部门组成工作组，负责指导参改单位做好司勤人员安置工作，确保改革平稳推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(四)公开规范处置公务用车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取消的公务用车，由各级相关职能部门统一规范处置。要制定处置办法，遵循公开公平、集中统一、规范透明、避免浪费的原则，公开招标评估、拍卖机构，通过公开拍卖等方式公开处置。处置工作要按照封存停驶、鉴定评估、移交车辆、公开拍卖、收入上缴、核销账务六个步骤进行，防止甩卖和贱卖现象，避免国有资产流失。党政机关公务用车处置收入，扣除有关税费后全部上缴国库。事业单位、国有企业和国有金融企业参改车辆的处置收入，按国家有关财务管理制度执行。各地可根据实际情况，对未能及时处置的车辆，采取设立过渡性车辆服务中心或社会化车辆租赁公司的方式，进行市场化运营，减少车辆闲置浪费，过渡期由各地确定，政府不得变相为其提供财政性补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四、健全公务用车管理和保障制度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(一)加强定向化保障车辆管理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党政机关公务用车主管部门要会同有关部门严格核定定向化保障公务用车的编制和标准。车辆配备优先选用新能源汽车，其中用于机要通信、相对固定路线执法执勤等车辆配备更新时应当使用新能源汽车，并确保达到一定比例，配备标准及管理工作按照国家机关事务管理局、财政部等五部委《关于印发政府机关及公共机构购买新能源汽车实施方案的通知》的有关规定执行。按规定保留的公务用车实行集中管理，逐步探索社会化监督的有效形式和具体办法。除涉及国家安全、侦查办案等有保密要求的特殊工作用车外，执法执勤用车应当喷涂明显的统一标识。改革前未配车的单位，改革后亦不得增配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1.按以下原则和标准保留必要的机要通信和应急车辆: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根据编制总量和工作性质可保留5辆以内的机要通信和应急用车;省机构编制部门单列编制、数量在50人以上、相对独立或驻济南以外的部门属处级参改单位，可单独核定1至2辆机要通信和应急用车;部门内设机构(不含相对独立的厅级内设机构)以及驻济南的其他处级参改单位，不单独保留机要通信和应急用车，其人员编制与所属的机关本级合并计算，相应机要通信和应急用车由所属机关统一保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市、县(市、区)级党政机关按照从严控制总量、集中管理、统筹使用的原则，保留机要通信和应急车辆。在符合公务交通成本节支要求的前提下，全省市级党政机关保留机要通信和应急车辆的总量按照不高于各市市属部门(含符合参改条件的市属功能区管理机构)总合计数的200%核定;全省县(市、区)级党政机关保留机要通信和应急车辆的总量按照不高于各县县属部门(含符合参改条件的县属功能区管理机构)总合计数的150%核定。各市、县(市、区)的具体保留数量，分别由省、市公务用车制度改革领导小组在综合考虑机构数量和编制规模等因素的基础上研究确定。市、县(市、区)党政机关保留机要通信和应急车辆的具体使用管理办法，由各地根据中央和省的车改政策要求结合当地实际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乡镇(街道)一般可保留机要通信和应急车辆1至2辆，地处偏远或山区的可保留3辆。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对特别重大抢险救灾、事故处理、突发事件处置等不可预测的特殊事项，各地可从实际出发在应急预案中另行制定特殊情况下公务用车保障办法。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2.按以下原则和标准保留必要的执法执勤车辆: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执法执勤用车配备应当严格限制在一线执法执勤岗位，机关内部管理和后勤岗位以及机关所属事业单位一律不得配备。在中央确定的17个执法部门内，省、市、县(市、区)分别按各级主管部门核定的一般执法执勤用车编制数的40%、60%、70%保留;在中央确定的执法部门之外，拥有法律法规赋予的执法执勤职能、具有专门的执法执勤机构和人员、需要经常性外出开展执法执勤工作的其他部门，其执法执勤车辆应严格配置在相关一线岗位并严格控制总量，省、市、县(市、区)分别按各级主管部门核定的执法执勤车辆编制数的30%、50%、60%保留。省属驻济以外单位按照当地同级保留比例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一般执法执勤用车和其他具有执法执勤职能部门的执法执勤车辆的保留数量超过上述比例的，每增加1辆相应核减该部门的公务交通补贴6万元;保留比例超过原编制数90%的，不再发放该部门公务交通补贴。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在从严控制总量的前提下，各级要根据实际情况建立跨部门综合性执法用车平台并于两年内到位。鼓励一线执法执勤岗位根据实际情况选配专用摩托车作为执法执勤交通工具。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3.符合保留条件的各类特种专业技术用车，继续保留。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调研、接待等集体公务出行用车，原则上以社会化方式提供。确有特殊要求、无法通过社会化方式提供的，可适当保留部分车辆，以中巴车型为主。市、县(市、区)可分别按照保留公车总数1%的比例保留调研、接待用车，实行总量控制，集中管理，统筹使用;省委、省人大常委会、省政府、省政协办公厅单独保留部分调研、接待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(二)完善财务管理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公务交通补贴属于改革性补贴，统一纳入各级财政预算。各部门各单位要严格公务交通费用预算管理，按照在编在岗公务员数量和职务核定补贴数额，待应取消车辆封存、上交后按月发放，用于保障公务人员普通公务出行。各部门各单位要加强财务管理，严格公务交通补贴发放，不得擅自扩大补贴范围、提高补贴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(三)加强公务用车监督检查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把公务用车配备和运行维护费用、交通补贴发放、车辆处置情况等纳入日常和专项审计监督及政务公开范围。各级党政机关不得以特殊用途等理由变相超编制、超标准配备公务用车，不得以任何方式换用、借用、占用下属单位或其他单位和个人的车辆，不得接受企事业单位和个人赠送的车辆，不得以任何理由违反用途使用或固定给个人使用执法执勤、机要通信等公务用车，不得以公务交通补贴名义变相发放福利。公务人员不得既领取公务交通补贴、又违规乘坐公务用车。纪检监察机关要强化监督检查，及时受理群众举报，依法依纪严肃查处违反公务用车制度改革和公务用车管理的行为，严肃追究相关责任人的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(四)切实保障公务出行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鼓励公务出行乘坐公共交通工具。各地要采取有效措施，健全城市公共交通服务体系，完善出租车市场化运营管理方式，通过公开招标方式选择部分汽车租赁公司，发展适合公务出行的市场化交通定制服务，增加社会化交通供给。及时解决公务出行遇到的实际问题，确保改革后公务出行得到有效保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五、认真做好组织实施工作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(一)加强领导，明确责任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务用车制度改革政策性强、任务艰巨。各级各部门要高度重视，切实加强领导，严格工作纪律，明确工作责任。根据《山东省人民政府办公厅关于成立山东省公务用车制度改革领导小组的通知》精神，省公务用车制度改革领导小组办公室有关成员单位的主要职责是:省发展改革委承担领导小组办公室日常事务和综合协调工作，负责牵头拟订全省公车改革总体方案、省级党政机关公车改革实施方案。省机关事务局负责省级党政机关取消车辆的处置以及保留的机要通信、应急、特种专业技术用车及其他车辆的编制核定和配备使用管理工作，会同有关部门研究拟定相关配套政策。省财政厅负责执法执勤用车改革以及公务交通补贴标</w:t>
      </w:r>
      <w:r>
        <w:rPr>
          <w:rFonts w:ascii="方正仿宋简体" w:hAnsi="方正仿宋简体" w:eastAsia="方正仿宋简体" w:cs="方正仿宋简体"/>
          <w:sz w:val="26"/>
          <w:szCs w:val="26"/>
        </w:rPr>
        <w:t>标准测算、制定和发放等方面的工作，研究拟订相关配套政策，按照省级行政事业单位国有资产处置办法规定，办理已处置车辆的账务核销。省人力资源社会保障厅负责司勤人员安置等方面的工作，研究拟订相关配套政策。省审计厅负责对公务用车改革全过程进行监督，并将改革后公务用车配备和运行维护费用、交通补贴发放、车辆处置情况等纳入日常和专项审计监督。省国资委根据省车改工作部署，负责省级国有企业公车改革的组织实施工作，研究拟订相关政策。</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各市、县（市、区）政府要分别建立由政府主要负责同志任组长的公务用车制度改革领导小组，根据本地实际情况，负责制定并组织实施本市、县（市、区）党政机关、事业单位、国有企业和国有金融企业公务用车制度改革方案及配套政策。省直各部门（单位）要建立由主要负责同志任组长的公务用车制度改革领导小组或工作机构，负责组织实施本部门（单位）的公务用车制度改革。</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各市和省直各部门（单位）的公务用车制度改革实施方案，须报省公务用车制度改革领导小组批准后方可实施。已先行改革的市、县（市、区），要按照本方案统一规范执行。</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（二）精心组织，扎实推进</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各地各部门要健全工作机制，深入调查研究，细致统计测算，周密制定公务用车制度改革方案，明确时限要求，加强监督检查，及时有效解决改革中遇到的新情况新问题，确保各项工作落到实处。省级党政机关先行启动公务用车制度改革工作，确保在规定时限内完成改革任务。</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（三）加强舆论引导，营造良好氛围</w:t>
      </w:r>
    </w:p>
    <w:p>
      <w:pPr>
        <w:spacing w:line="400" w:lineRule="exact"/>
        <w:ind w:firstLine="520" w:firstLineChars="200"/>
        <w:jc w:val="left"/>
        <w:rPr>
          <w:rFonts w:ascii="方正仿宋简体" w:hAnsi="方正仿宋简体" w:eastAsia="方正仿宋简体" w:cs="方正仿宋简体"/>
          <w:sz w:val="26"/>
          <w:szCs w:val="26"/>
        </w:rPr>
      </w:pPr>
      <w:r>
        <w:rPr>
          <w:rFonts w:ascii="方正仿宋简体" w:hAnsi="方正仿宋简体" w:eastAsia="方正仿宋简体" w:cs="方正仿宋简体"/>
          <w:sz w:val="26"/>
          <w:szCs w:val="26"/>
        </w:rPr>
        <w:t>切实加强公务用车制度改革舆论宣传工作，做好政策解读，阐释改革的目的和意义，正确引导社会舆论，及时回应社会关切，使广大公务人员和人民群众了解、支持改革，努力为改革营造良好社会氛围。</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(五)土地管理</w:t>
      </w: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关于加强行政事业单位土地资产管理工作的通知</w:t>
      </w:r>
    </w:p>
    <w:p>
      <w:pPr>
        <w:spacing w:line="400" w:lineRule="exact"/>
        <w:ind w:firstLine="520" w:firstLineChars="200"/>
        <w:jc w:val="center"/>
        <w:rPr>
          <w:rFonts w:ascii="方正仿宋简体" w:hAnsi="方正仿宋简体" w:eastAsia="方正仿宋简体" w:cs="方正仿宋简体"/>
          <w:b/>
          <w:bCs/>
          <w:sz w:val="26"/>
          <w:szCs w:val="26"/>
        </w:rPr>
      </w:pPr>
      <w:r>
        <w:rPr>
          <w:rFonts w:hint="eastAsia" w:ascii="方正仿宋简体" w:hAnsi="方正仿宋简体" w:eastAsia="方正仿宋简体" w:cs="方正仿宋简体"/>
          <w:b/>
          <w:bCs/>
          <w:sz w:val="26"/>
          <w:szCs w:val="26"/>
        </w:rPr>
        <w:t>鲁财资〔2011〕26号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各市、县（市、区）财政局、国土资源局，省直各部门，有关省属企业集团：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保障国有资产安全完整，维护国有资产合法权益，根据《行政单位国有资产管理暂行办法》（财政部令第35号）、《事业单位国有资产管理暂行办法》（财政部令第36号）、《土地登记办法》（国土资源部令第40号）等有关规定，经研究，现就加强行政事业单位土地资产管理有关问题通知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一、行政事业单位土地资产，指行政事业单位依法取得的国有土地使用权，包括以划拨方式取得的国有土地使用权和以有偿使用方式取得的国有土地使用权，是行政事业单位国有资产的重要组成部分。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行政事业单位依法取得的土地资产，应当按规定向县级以上国土资源行政主管部门申请办理土地登记，取得土地权利证书，并按规定向同级财政部门申请办理产权登记，取得行政事业单位国有资产产权登记证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除人民法院法律文书涉及土地资产以及政府依法收回国有土地使用权外，县级以上国土资源行政主管部门按规定为行政事业单位办理土地变更登记或者注销登记，应当审验相应财政部门批准或者确认的相关文件资料，不能提供上述文件资料的，国土资源行政主管部门不予受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四、因人民法院法律文书涉及土地资产以及政府依法收回国有土地使用权造成的土地资产损失，由行政事业单位主管部门审核后，报同级财政部门核定。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五、行政事业单位国有土地使用权符合法律法规规定的需由国土资源行政主管部门办理变更登记、注销登记等手续的下列事项，事先应当经行政事业单位主管部门审核后，报同级财政部门审批：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1、国有土地使用权的转让、调拨、置换、抵顶债务等；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2、事业单位以国有土地使用权对外投资设立经济实体；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3、以国有土地使用权为抵押获取贷款（借款），或者以国有土地使用权为担保物为他人提供担保；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4、处置（转让、调拨、置换、抵顶债务等）地上资产（包括建筑物、构筑物和附属设施等），或者以地上资产对外投资、抵押、担保，涉及国有土地使用权；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5、行政事业单位合并、分立、改制、隶属关系改变等涉及国有土地使用权；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6、将以划拨方式取得的国有土地使用权改变为以有偿使用方式取得国有土地使用权；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7、按规定应当由财政部门审批的涉及国有土地使用权的其他事项。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六、行政事业单位国有土地使用权需由国土资源行政主管部门办理变更登记、注销登记等手续的下列事项，事先应当经行政事业单位主管部门审核后，报同级财政部门确认：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1、以土地资产抵押或者担保的解除；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2、土地抵押权的实现或者解除；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3、因不可抗力丧失土地资产；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4、按规定应当报财政部门确认的涉及土地资产的其他事项。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七、各级财政部门和国土资源行政主管部门应当加强协作，密切配合，确保行政事业单位土地资产相关管理事项程序合法、手续完备。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八、行政事业单位土地资产审批、确认事项管理办法，按同级财政部门规定执行。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请转至本级行政事业单位，并认真贯彻执行。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（六）公用房管理</w:t>
      </w: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b/>
          <w:sz w:val="40"/>
          <w:szCs w:val="40"/>
        </w:rPr>
      </w:pPr>
      <w:r>
        <w:rPr>
          <w:rFonts w:hint="eastAsia" w:ascii="方正小标宋简体" w:hAnsi="方正仿宋简体" w:eastAsia="方正小标宋简体" w:cs="方正仿宋简体"/>
          <w:b/>
          <w:sz w:val="40"/>
          <w:szCs w:val="40"/>
        </w:rPr>
        <w:t>教育部关于印发《普通高等学校基本办学条件指标(试行)》的通知</w:t>
      </w:r>
    </w:p>
    <w:p>
      <w:pPr>
        <w:widowControl/>
        <w:shd w:val="clear" w:color="auto" w:fill="FFFFFF"/>
        <w:spacing w:line="400" w:lineRule="exact"/>
        <w:ind w:firstLine="600" w:firstLineChars="200"/>
        <w:jc w:val="center"/>
        <w:rPr>
          <w:rFonts w:ascii="黑体" w:hAnsi="黑体" w:eastAsia="黑体" w:cs="黑体"/>
          <w:color w:val="4A4A4A"/>
          <w:sz w:val="30"/>
          <w:szCs w:val="30"/>
        </w:rPr>
      </w:pPr>
      <w:r>
        <w:rPr>
          <w:rFonts w:hint="eastAsia" w:ascii="黑体" w:hAnsi="黑体" w:eastAsia="黑体" w:cs="黑体"/>
          <w:color w:val="4A4A4A"/>
          <w:sz w:val="30"/>
          <w:szCs w:val="30"/>
        </w:rPr>
        <w:t>教发〔2004〕2号</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各省、自治区、直辖市教育厅(教委)，新疆生产建设兵团教育局，各计划单列市教育局，有关部门(单位)教育司(局)，部属各高等学校：</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随着我国高等教育的发展和各项改革的推进，原国家教委1996年发布实施的《核定普通高等学校招生规模办学条件标准》和《“红”、“黄”牌高等学校办学条件标准》(教计[1996)154号)现试行)》(以下简称《基本办学条件指标》)印发给你们，请遵照执行，并就执行过程中应注意的有关事项通知如下：</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一、《基本办学条件指标》主要用于普通高等学校核定年度招生规模，确定限制、停止招生普通高等学校，并对普通高等学校办学条件进行监测。《基本办学条件指标》的发布实施，有利于加强宏观管理，逐步建立、健全社会监督机制，有利于促进办学条件改善和保证我国高等教育持续、健康发展。</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二、各地、各部门和各普通高等学校要根据经济社会发展需要、国家核定的办学规模以及本《基本办学条件指标》的要求，合理确定普通高等学校的招生规模，以维护正常的教学、生活秩序，保证普通高等教育基本的教学质量和规格。</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三、根据指标的用途及其重要性，新修订的《基本办学条件指标》由以下两部分组成：</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1.基本办学条件指标：包括生师比、具有研究生学位教师占专任教师的比例、生均教学行政用房、生均教学科研仪器设备值、生均图书。这些指标是衡量普通高等学校基本办学条件和核定年度招生规模的重要依据。</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2.监测办学条件指标：包括具有高级职务教师占专任教师的比例、生均占地面积、生均宿舍面积、百名学生配教学用计算机台数、百名学生配多媒体教室和语音实验室座位数、新增教学科研仪器设备所占比例、生均年进书量。这些指标是基本办学条件指标的补充，为全面分析普通高等学校办学条件和引进社会监督机制提供依据。同时这些指标还可反映普通高等学校基本办学条件的改善、更新情况，对提高教学质量和高等学校信息化程度等具有积极的指导作用。</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四、限制招生、暂停招生普通高等学校的确定：</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l.凡有一项基本办学条件指标低于限制招生规定要求的学校即给予限制招生(黄牌)的警示，以维持基本办学条件不再下滑，并促进其尽快改善办学条件。限制招生的学校其招生规模不得超过当年毕业生数。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2.凡有两项或两项以上基本办学条件指标低于限制招生规定要求，或连续三年被确定为黄牌的学校即为暂停招生(红牌)学校。暂停招生学校当年不得安排普通高等学历教育招生计划。</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五、请各地、各部门将本通知及《基本办学条件指标》尽快转发至所属普通高等学校。原《核定普通高等学校招生规模办学条件标准》和《“红”、“黄”牌高等学校办学条件标准》从本通知发布之日起停止执行。</w:t>
      </w:r>
    </w:p>
    <w:p>
      <w:pPr>
        <w:widowControl/>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br w:type="page"/>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附件：</w:t>
      </w:r>
    </w:p>
    <w:p>
      <w:pPr>
        <w:widowControl/>
        <w:shd w:val="clear" w:color="auto" w:fill="FFFFFF"/>
        <w:spacing w:line="400" w:lineRule="exact"/>
        <w:ind w:firstLine="640" w:firstLineChars="200"/>
        <w:jc w:val="center"/>
        <w:rPr>
          <w:rFonts w:ascii="方正小标宋简体" w:hAnsi="方正仿宋简体" w:eastAsia="方正小标宋简体" w:cs="方正仿宋简体"/>
          <w:color w:val="4A4A4A"/>
          <w:sz w:val="32"/>
          <w:szCs w:val="32"/>
        </w:rPr>
      </w:pPr>
      <w:r>
        <w:rPr>
          <w:rFonts w:hint="eastAsia" w:ascii="方正小标宋简体" w:hAnsi="方正仿宋简体" w:eastAsia="方正小标宋简体" w:cs="方正仿宋简体"/>
          <w:bCs/>
          <w:color w:val="4A4A4A"/>
          <w:sz w:val="32"/>
          <w:szCs w:val="32"/>
        </w:rPr>
        <w:t>普通高等学校基本办学条件指标（试行）</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表一：基本办学条件指标：合格</w:t>
      </w:r>
    </w:p>
    <w:tbl>
      <w:tblPr>
        <w:tblStyle w:val="14"/>
        <w:tblW w:w="5140" w:type="pct"/>
        <w:tblCellSpacing w:w="7" w:type="dxa"/>
        <w:tblInd w:w="-24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553"/>
        <w:gridCol w:w="1034"/>
        <w:gridCol w:w="1456"/>
        <w:gridCol w:w="1626"/>
        <w:gridCol w:w="1372"/>
        <w:gridCol w:w="7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vMerge w:val="restar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学校类别</w:t>
            </w:r>
          </w:p>
        </w:tc>
        <w:tc>
          <w:tcPr>
            <w:tcW w:w="0" w:type="auto"/>
            <w:gridSpan w:val="5"/>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 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p>
        </w:tc>
        <w:tc>
          <w:tcPr>
            <w:tcW w:w="578"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生师比</w:t>
            </w:r>
          </w:p>
        </w:tc>
        <w:tc>
          <w:tcPr>
            <w:tcW w:w="81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具有研究生学位教师占专任教师的比例（%）</w:t>
            </w:r>
          </w:p>
        </w:tc>
        <w:tc>
          <w:tcPr>
            <w:tcW w:w="91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生均教学行政用房 （平方米/生）</w:t>
            </w:r>
          </w:p>
        </w:tc>
        <w:tc>
          <w:tcPr>
            <w:tcW w:w="769"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生均教学科研仪器设备值（元/生）</w:t>
            </w:r>
          </w:p>
        </w:tc>
        <w:tc>
          <w:tcPr>
            <w:tcW w:w="43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生均图书 （册/生）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综合、师范、民族院校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工科、农、林院校</w:t>
            </w:r>
          </w:p>
          <w:p>
            <w:pPr>
              <w:widowControl/>
              <w:spacing w:before="100" w:beforeAutospacing="1" w:after="100" w:afterAutospacing="1" w:line="400" w:lineRule="exact"/>
              <w:ind w:firstLine="520" w:firstLineChars="20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医学院校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语文、财经、政法院校</w:t>
            </w:r>
          </w:p>
          <w:p>
            <w:pPr>
              <w:widowControl/>
              <w:spacing w:before="100" w:beforeAutospacing="1" w:after="100" w:afterAutospacing="1" w:line="400" w:lineRule="exact"/>
              <w:ind w:firstLine="520" w:firstLineChars="200"/>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体育院校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艺术院校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14</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4000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80</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tbl>
      <w:tblPr>
        <w:tblStyle w:val="14"/>
        <w:tblW w:w="5140" w:type="pct"/>
        <w:tblCellSpacing w:w="7" w:type="dxa"/>
        <w:tblInd w:w="-24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552"/>
        <w:gridCol w:w="1033"/>
        <w:gridCol w:w="1456"/>
        <w:gridCol w:w="1628"/>
        <w:gridCol w:w="1372"/>
        <w:gridCol w:w="7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434" w:type="pct"/>
            <w:vMerge w:val="restar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学校类别</w:t>
            </w:r>
          </w:p>
        </w:tc>
        <w:tc>
          <w:tcPr>
            <w:tcW w:w="0" w:type="auto"/>
            <w:gridSpan w:val="5"/>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高 职（专 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p>
        </w:tc>
        <w:tc>
          <w:tcPr>
            <w:tcW w:w="57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生师比</w:t>
            </w:r>
          </w:p>
        </w:tc>
        <w:tc>
          <w:tcPr>
            <w:tcW w:w="81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具有研究生学位教师占专任教师的比例（%）</w:t>
            </w:r>
          </w:p>
        </w:tc>
        <w:tc>
          <w:tcPr>
            <w:tcW w:w="91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生均教学行政用房 （平方米/生）</w:t>
            </w:r>
          </w:p>
        </w:tc>
        <w:tc>
          <w:tcPr>
            <w:tcW w:w="769"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生均教学科研仪器设备值（元/生）</w:t>
            </w:r>
          </w:p>
        </w:tc>
        <w:tc>
          <w:tcPr>
            <w:tcW w:w="43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生均图书 （册/生）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综合、师范、民族院校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工科、农、林院校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医学院校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语文、财经、政法院校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体育院校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艺术院校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60</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备注：</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⒈ 聘请校外教师经折算后计入教师总数，原则上聘请校外教师数不超过专任教师总数的四分之一。</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⒉ 凡生师比指标不高于表中数值，且其它指标不低于表中数值的学校为合格学校。</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bCs/>
          <w:color w:val="4A4A4A"/>
          <w:sz w:val="26"/>
          <w:szCs w:val="26"/>
        </w:rPr>
      </w:pPr>
      <w:r>
        <w:rPr>
          <w:rFonts w:hint="eastAsia" w:ascii="方正仿宋简体" w:hAnsi="方正仿宋简体" w:eastAsia="方正仿宋简体" w:cs="方正仿宋简体"/>
          <w:bCs/>
          <w:color w:val="4A4A4A"/>
          <w:sz w:val="26"/>
          <w:szCs w:val="26"/>
        </w:rPr>
        <w:t>表二、基本办学条件指标：限制招生</w:t>
      </w:r>
    </w:p>
    <w:tbl>
      <w:tblPr>
        <w:tblStyle w:val="14"/>
        <w:tblW w:w="5140" w:type="pct"/>
        <w:tblCellSpacing w:w="7" w:type="dxa"/>
        <w:tblInd w:w="-24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553"/>
        <w:gridCol w:w="1034"/>
        <w:gridCol w:w="1456"/>
        <w:gridCol w:w="1626"/>
        <w:gridCol w:w="1372"/>
        <w:gridCol w:w="7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CellSpacing w:w="7" w:type="dxa"/>
        </w:trPr>
        <w:tc>
          <w:tcPr>
            <w:tcW w:w="1434" w:type="pct"/>
            <w:vMerge w:val="restar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学校类别</w:t>
            </w:r>
          </w:p>
        </w:tc>
        <w:tc>
          <w:tcPr>
            <w:tcW w:w="0" w:type="auto"/>
            <w:gridSpan w:val="5"/>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 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CellSpacing w:w="7" w:type="dxa"/>
        </w:trPr>
        <w:tc>
          <w:tcPr>
            <w:tcW w:w="1434" w:type="pct"/>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p>
        </w:tc>
        <w:tc>
          <w:tcPr>
            <w:tcW w:w="578"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生师比</w:t>
            </w:r>
          </w:p>
        </w:tc>
        <w:tc>
          <w:tcPr>
            <w:tcW w:w="81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具有研究生学位教师占专任教师的比例（%）</w:t>
            </w:r>
          </w:p>
        </w:tc>
        <w:tc>
          <w:tcPr>
            <w:tcW w:w="91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生均教学行政用房 （平方米/生）</w:t>
            </w:r>
          </w:p>
        </w:tc>
        <w:tc>
          <w:tcPr>
            <w:tcW w:w="769"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生均教学科研仪器设备值（元/生）</w:t>
            </w:r>
          </w:p>
        </w:tc>
        <w:tc>
          <w:tcPr>
            <w:tcW w:w="43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生均图书 （册/生）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05" w:hRule="atLeast"/>
          <w:tblCellSpacing w:w="7" w:type="dxa"/>
        </w:trPr>
        <w:tc>
          <w:tcPr>
            <w:tcW w:w="143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综合、师范、民族院校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工、农、林、医学院校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语文、财经、政法院校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体育院校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艺术院校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23</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35</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40</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tbl>
      <w:tblPr>
        <w:tblStyle w:val="14"/>
        <w:tblW w:w="5140" w:type="pct"/>
        <w:tblCellSpacing w:w="7" w:type="dxa"/>
        <w:tblInd w:w="-24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552"/>
        <w:gridCol w:w="1033"/>
        <w:gridCol w:w="1456"/>
        <w:gridCol w:w="1628"/>
        <w:gridCol w:w="1372"/>
        <w:gridCol w:w="7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CellSpacing w:w="7" w:type="dxa"/>
        </w:trPr>
        <w:tc>
          <w:tcPr>
            <w:tcW w:w="1434" w:type="pct"/>
            <w:vMerge w:val="restar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学校类别</w:t>
            </w:r>
          </w:p>
        </w:tc>
        <w:tc>
          <w:tcPr>
            <w:tcW w:w="0" w:type="auto"/>
            <w:gridSpan w:val="5"/>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高 职（专 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1434" w:type="pct"/>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p>
        </w:tc>
        <w:tc>
          <w:tcPr>
            <w:tcW w:w="57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生师比</w:t>
            </w:r>
          </w:p>
        </w:tc>
        <w:tc>
          <w:tcPr>
            <w:tcW w:w="817"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具有研究生学位教师占专任教师的比例（%）</w:t>
            </w:r>
          </w:p>
        </w:tc>
        <w:tc>
          <w:tcPr>
            <w:tcW w:w="91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生均教学行政用房 （平方米/生）</w:t>
            </w:r>
          </w:p>
        </w:tc>
        <w:tc>
          <w:tcPr>
            <w:tcW w:w="769"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生均教学科研仪器设备值（元/生）</w:t>
            </w:r>
          </w:p>
        </w:tc>
        <w:tc>
          <w:tcPr>
            <w:tcW w:w="433"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生均图书 （册/生）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05" w:hRule="atLeast"/>
          <w:tblCellSpacing w:w="7" w:type="dxa"/>
        </w:trPr>
        <w:tc>
          <w:tcPr>
            <w:tcW w:w="1434"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综合、师范、民族院校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工、农、林、医学院校</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语文、财经、政法院校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体育院校</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艺术院校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22</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23</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2500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2500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p>
            <w:pPr>
              <w:widowControl/>
              <w:spacing w:before="100" w:beforeAutospacing="1" w:after="100" w:afterAutospacing="1"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2000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45</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35</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45</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p>
            <w:pPr>
              <w:widowControl/>
              <w:spacing w:before="100" w:beforeAutospacing="1" w:after="100" w:afterAutospacing="1"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35</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备注：</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⒈生师比指标高于表中数值或其它某一项指标低于表中数值，即该项指标未达到规定要求。</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⒉凡有一项指标未达到规定要求的学校，即被确定为限制招生（黄牌）学校。</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⒊凡两项或两项以上指标未达到规定要求的学校，即被确定为暂停招生（红牌）学校。</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⒋凡连续三年被确定为“黄”牌的学校，第三年即被确定为暂停招生（红牌）学校。</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bCs/>
          <w:color w:val="4A4A4A"/>
          <w:sz w:val="26"/>
          <w:szCs w:val="26"/>
        </w:rPr>
      </w:pPr>
      <w:r>
        <w:rPr>
          <w:rFonts w:hint="eastAsia" w:ascii="方正仿宋简体" w:hAnsi="方正仿宋简体" w:eastAsia="方正仿宋简体" w:cs="方正仿宋简体"/>
          <w:bCs/>
          <w:color w:val="4A4A4A"/>
          <w:sz w:val="26"/>
          <w:szCs w:val="26"/>
        </w:rPr>
        <w:t>表三、监测办学条件指标：合格要求</w:t>
      </w:r>
    </w:p>
    <w:tbl>
      <w:tblPr>
        <w:tblStyle w:val="14"/>
        <w:tblW w:w="5500" w:type="pct"/>
        <w:tblCellSpacing w:w="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761"/>
        <w:gridCol w:w="826"/>
        <w:gridCol w:w="784"/>
        <w:gridCol w:w="856"/>
        <w:gridCol w:w="854"/>
        <w:gridCol w:w="854"/>
        <w:gridCol w:w="826"/>
        <w:gridCol w:w="854"/>
        <w:gridCol w:w="826"/>
        <w:gridCol w:w="784"/>
        <w:gridCol w:w="856"/>
        <w:gridCol w:w="854"/>
        <w:gridCol w:w="854"/>
        <w:gridCol w:w="826"/>
        <w:gridCol w:w="8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CellSpacing w:w="7" w:type="dxa"/>
        </w:trPr>
        <w:tc>
          <w:tcPr>
            <w:tcW w:w="0" w:type="auto"/>
            <w:gridSpan w:val="8"/>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 科</w:t>
            </w:r>
          </w:p>
        </w:tc>
        <w:tc>
          <w:tcPr>
            <w:tcW w:w="0" w:type="auto"/>
            <w:gridSpan w:val="7"/>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before="100" w:beforeAutospacing="1" w:after="100" w:afterAutospacing="1"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高 职（专 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3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学校类别</w:t>
            </w:r>
          </w:p>
        </w:tc>
        <w:tc>
          <w:tcPr>
            <w:tcW w:w="3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具有高级职务教师占专任教师的比例（%）</w:t>
            </w:r>
          </w:p>
        </w:tc>
        <w:tc>
          <w:tcPr>
            <w:tcW w:w="2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生均占地面积（平方米/生）</w:t>
            </w:r>
          </w:p>
        </w:tc>
        <w:tc>
          <w:tcPr>
            <w:tcW w:w="2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生均宿舍面积（平 方米/生）</w:t>
            </w:r>
          </w:p>
        </w:tc>
        <w:tc>
          <w:tcPr>
            <w:tcW w:w="3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百名学生配教学用计算机台数（台）</w:t>
            </w:r>
          </w:p>
        </w:tc>
        <w:tc>
          <w:tcPr>
            <w:tcW w:w="3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百名学生配多媒体教室和语音实验室座位数（个）</w:t>
            </w:r>
          </w:p>
        </w:tc>
        <w:tc>
          <w:tcPr>
            <w:tcW w:w="3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新增教学科研仪器设备所占比例（%）</w:t>
            </w:r>
          </w:p>
        </w:tc>
        <w:tc>
          <w:tcPr>
            <w:tcW w:w="2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 年进书量（册）</w:t>
            </w:r>
          </w:p>
        </w:tc>
        <w:tc>
          <w:tcPr>
            <w:tcW w:w="3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具有高级职务教师占专任教师的比例（%）</w:t>
            </w:r>
          </w:p>
        </w:tc>
        <w:tc>
          <w:tcPr>
            <w:tcW w:w="3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生均占地面积（平方米/生）</w:t>
            </w:r>
          </w:p>
        </w:tc>
        <w:tc>
          <w:tcPr>
            <w:tcW w:w="4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生均宿舍面积（平 方米/生）</w:t>
            </w:r>
          </w:p>
        </w:tc>
        <w:tc>
          <w:tcPr>
            <w:tcW w:w="4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百名学生配教学用计算机台数（台）</w:t>
            </w:r>
          </w:p>
        </w:tc>
        <w:tc>
          <w:tcPr>
            <w:tcW w:w="4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百名学生配多媒体教室和语音实验室座位数（个）</w:t>
            </w:r>
          </w:p>
        </w:tc>
        <w:tc>
          <w:tcPr>
            <w:tcW w:w="40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新增教学科研仪器设备所占比例（%）</w:t>
            </w:r>
          </w:p>
        </w:tc>
        <w:tc>
          <w:tcPr>
            <w:tcW w:w="350" w:type="pct"/>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生均 年进书量（册）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CellSpacing w:w="7" w:type="dxa"/>
        </w:trPr>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综合、师范、民族院校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工、农、林、医学院校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59</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59</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语文、财经、政法院校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7" w:type="dxa"/>
        </w:trPr>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体育院校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blCellSpacing w:w="7" w:type="dxa"/>
        </w:trPr>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艺术院校</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6.5</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0" w:type="auto"/>
            <w:tcBorders>
              <w:top w:val="outset" w:color="auto" w:sz="6" w:space="0"/>
              <w:left w:val="outset" w:color="auto" w:sz="6" w:space="0"/>
              <w:bottom w:val="outset" w:color="auto" w:sz="6" w:space="0"/>
              <w:right w:val="outset" w:color="auto" w:sz="6" w:space="0"/>
            </w:tcBorders>
            <w:shd w:val="clear" w:color="auto" w:fill="FFFFFF"/>
            <w:tcMar>
              <w:top w:w="15" w:type="dxa"/>
              <w:left w:w="15" w:type="dxa"/>
              <w:bottom w:w="15" w:type="dxa"/>
              <w:right w:w="15" w:type="dxa"/>
            </w:tcMar>
            <w:vAlign w:val="center"/>
          </w:tcPr>
          <w:p>
            <w:pPr>
              <w:widowControl/>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r>
    </w:tbl>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备注：</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⒈凡教学仪器设备总值超过1亿元的高校，当年新增教学仪器设备值超过1000万元，该项指标即为合格。</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⒉凡折合在校生超过30000人的高校，当年进书量超过9万册，该项指标即为合格。</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bCs/>
          <w:color w:val="4A4A4A"/>
          <w:sz w:val="26"/>
          <w:szCs w:val="26"/>
        </w:rPr>
        <w:t>备注：</w:t>
      </w:r>
      <w:r>
        <w:rPr>
          <w:rFonts w:hint="eastAsia" w:ascii="方正仿宋简体" w:hAnsi="方正仿宋简体" w:eastAsia="方正仿宋简体" w:cs="方正仿宋简体"/>
          <w:color w:val="4A4A4A"/>
          <w:sz w:val="26"/>
          <w:szCs w:val="26"/>
        </w:rPr>
        <w:t>办学条件指标测算办法</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折合在校生数=普通本、专科（高职）生数+硕士生数*1.5+博士生数*2+留学生数*3+预科生数+进修生数+成人脱产班学生数+夜大（业余）学生数*0.3+函授生数*0.1</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全日制在校生数=普通本、专科（高职）生数+研究生数+留学生数+预科生数+成人脱产班学生数+进修生数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教师总数=专任教师数+聘请校外教师数*0.5</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⒈生师比=折合在校生数/教师总数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⒉具有研究生学位教师占专任教师的比例=具有研究生学位专任教师数/专任教师数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⒊生均教学行政用房=（教学及辅助用房面积+行政办公用房面积）/全日制在校生数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⒋生均教学科研仪器设备值=教学科研仪器设备资产总值/折合在校生数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⒌生均图书=图书总数/折合在校生数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⒍具有高级职务教师占专任教师的比例=具有副高级以上职务的专任教师数/专任教师数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⒎生均占地面积=占地面积/全日制在校生数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⒏生均学生宿舍面积=学生宿舍面积/全日制在校生数</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⒐百名学生配教学用计算机台数=（教学用计算机台数/全日制在校生数）*100</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⒑百名学生配多媒体教室和语音实验室座位数=（多媒体教室和语音实验室座位数/全日制在校生数）*100</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⒒新增教学科研仪器设备所占比例=当年新增教学科研仪器设备值/（教学科研仪器设备资产总值－当年新增教学科研仪器设备值）</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⒓生均年进书量=当年新增图书量/折合在校生数</w:t>
      </w:r>
    </w:p>
    <w:p>
      <w:pPr>
        <w:widowControl/>
        <w:shd w:val="clear" w:color="auto" w:fill="FFFFFF"/>
        <w:spacing w:line="400" w:lineRule="exact"/>
        <w:ind w:firstLine="520" w:firstLineChars="200"/>
        <w:jc w:val="left"/>
        <w:rPr>
          <w:rFonts w:ascii="方正仿宋简体" w:hAnsi="方正仿宋简体" w:eastAsia="方正仿宋简体" w:cs="方正仿宋简体"/>
          <w:bCs/>
          <w:color w:val="4A4A4A"/>
          <w:sz w:val="26"/>
          <w:szCs w:val="26"/>
        </w:rPr>
      </w:pPr>
      <w:r>
        <w:rPr>
          <w:rFonts w:hint="eastAsia" w:ascii="方正仿宋简体" w:hAnsi="方正仿宋简体" w:eastAsia="方正仿宋简体" w:cs="方正仿宋简体"/>
          <w:bCs/>
          <w:color w:val="4A4A4A"/>
          <w:sz w:val="26"/>
          <w:szCs w:val="26"/>
        </w:rPr>
        <w:t>说明：</w:t>
      </w:r>
    </w:p>
    <w:p>
      <w:pPr>
        <w:widowControl/>
        <w:shd w:val="clear" w:color="auto" w:fill="FFFFFF"/>
        <w:spacing w:line="400" w:lineRule="exact"/>
        <w:ind w:firstLine="520" w:firstLineChars="200"/>
        <w:jc w:val="left"/>
        <w:rPr>
          <w:rFonts w:ascii="方正仿宋简体" w:hAnsi="方正仿宋简体" w:eastAsia="方正仿宋简体" w:cs="方正仿宋简体"/>
          <w:color w:val="4A4A4A"/>
          <w:sz w:val="26"/>
          <w:szCs w:val="26"/>
        </w:rPr>
      </w:pPr>
      <w:r>
        <w:rPr>
          <w:rFonts w:hint="eastAsia" w:ascii="方正仿宋简体" w:hAnsi="方正仿宋简体" w:eastAsia="方正仿宋简体" w:cs="方正仿宋简体"/>
          <w:color w:val="4A4A4A"/>
          <w:sz w:val="26"/>
          <w:szCs w:val="26"/>
        </w:rPr>
        <w:t>⒈进修生数指进修及培训时间在一年以上的学生数。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color w:val="4A4A4A"/>
          <w:sz w:val="26"/>
          <w:szCs w:val="26"/>
        </w:rPr>
        <w:t>⒉电子类图书、附属医院临床教学人员已在相关指标的定量中予以考虑，测算时均不包括在内。</w:t>
      </w:r>
    </w:p>
    <w:p>
      <w:pPr>
        <w:ind w:firstLine="800" w:firstLineChars="200"/>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关于加强行政事业单位房屋资产管理工作</w:t>
      </w:r>
    </w:p>
    <w:p>
      <w:pPr>
        <w:ind w:firstLine="800" w:firstLineChars="200"/>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的通知</w:t>
      </w:r>
    </w:p>
    <w:p>
      <w:pPr>
        <w:spacing w:line="400" w:lineRule="exact"/>
        <w:ind w:firstLine="640" w:firstLineChars="200"/>
        <w:jc w:val="center"/>
        <w:rPr>
          <w:rFonts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鲁财资〔2011〕23 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各市、县(市、区)财政局、住房城乡建委(建设局)、住房保障和房产管理局，省直各部门，有关省属企业集团：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保障国有资产安全完整，维护国有资产合法权益，根据《中华人民共和国物权法》，在国务院对国家机关和国家举办的事业单位所直接支配的房屋的处分未作出相关规定之前，依据财政部《行政单位国有资产管理暂行办法》(财政部令第35号)、《事业单位国有资产管理暂行办法》(财政部令第36号)、住房和城乡建设部《房屋登记办法》(建设部令第168号)及国家和省行政事业国有资产管理、房屋登记管理有关规章制度，就加强行政事业单位房屋资产管理有关问题通知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一、行政事业单位房屋资产，指行政事业单位依法取得的房屋建筑物、构筑物，是行政事业单位国有资产的重要组成部分。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二、行政事业单位房屋资产的下列事项应当经主管部门审核同意后，报同级财政部门审批：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1、处置房屋资产，包括房屋资产的转让、调拨、置换、报废、抵顶债务等；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2、以房屋资产对外投资，即事业单位以房屋资产投资设立经济实体；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3、以房屋资产为抵押获取贷款(借款)，或者以房屋资产为担保物为他人提供担保；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4、处置土地资产或以土地资产对外投资、抵押担保，涉及房屋资产；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5、行政事业单位合并、分立、改制、隶属关系改变等涉及房屋资产；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6、按规定应当由财政部门审批的其他涉及房屋资产的事项。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三、行政事业单位房屋资产的下列事项应当经主管部门审核后，报同级财政部门确认：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1、以房屋资产抵押或者担保的解除；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2、房屋抵押权的取得或者解除；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3、因不可抗力丧失房屋资产；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4、按规定应当报财政部门确认的涉及房屋资产转移的其他事项。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四、行政事业单位依法获得房屋资产，应当按规定向当地房屋登记部门申请办理房屋所有权登记。行政事业单位取得房屋权属证书的房屋资产，应当按规定向同级财政部门申请办理国有资产登记。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除人民法院或仲裁委员会的法律文书、人民政府依法收回国有土地使用权或土地资产被依法征用涉及的房屋资产外，房屋登记部门按规定为行政事业单位办理房屋所有权转移、注销登记，抵押权登记及因被担保债权的数额发生变化的抵押权变更登记、注销登记，更正登记等，应当审验相应财政部门批准或确认的相关文件资料，不能提供上述文件资料的，不予受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六、因人民法院或仲裁委员会的法律文书、人民政府依法收回国有土地使用权或土地资产被依法征用造成的行政事业单位房屋资产损失，由主管部门审核后，报同级财政部门核定。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七、各级财政部门和房屋登记部门应当加强协作，密切配合，确保行政事业单位房屋资产相关管理事项程序合法、手续完备。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八、行政事业单位房屋资产审批、确认事项管理办法，按同级财政部门规定执行。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请转至本级行政事业单位，并认真贯彻执行。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0" w:firstLineChars="20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二○一一年四月二十二日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关于加强高等学校公用房屋管理工作的通知</w:t>
      </w:r>
    </w:p>
    <w:p>
      <w:pPr>
        <w:pStyle w:val="6"/>
        <w:spacing w:line="400" w:lineRule="exact"/>
        <w:ind w:left="595" w:right="278" w:firstLine="600" w:firstLineChars="200"/>
        <w:jc w:val="center"/>
        <w:rPr>
          <w:rFonts w:ascii="黑体" w:hAnsi="黑体" w:eastAsia="黑体" w:cs="宋体"/>
          <w:color w:val="4A4A4A"/>
          <w:lang w:val="en-US" w:bidi="ar-SA"/>
        </w:rPr>
      </w:pPr>
      <w:r>
        <w:rPr>
          <w:rFonts w:hint="eastAsia" w:ascii="黑体" w:hAnsi="黑体" w:eastAsia="黑体" w:cs="宋体"/>
          <w:color w:val="4A4A4A"/>
          <w:lang w:val="en-US" w:bidi="ar-SA"/>
        </w:rPr>
        <w:t>鲁教财字〔2013〕18 号</w:t>
      </w:r>
    </w:p>
    <w:p>
      <w:pPr>
        <w:pStyle w:val="6"/>
        <w:spacing w:line="400" w:lineRule="exact"/>
        <w:jc w:val="left"/>
        <w:rPr>
          <w:bCs/>
          <w:iCs/>
          <w:sz w:val="26"/>
          <w:szCs w:val="26"/>
        </w:rPr>
      </w:pPr>
      <w:r>
        <w:rPr>
          <w:rFonts w:hint="eastAsia"/>
          <w:bCs/>
          <w:iCs/>
          <w:sz w:val="26"/>
          <w:szCs w:val="26"/>
        </w:rPr>
        <w:t>各高等学校：</w:t>
      </w:r>
    </w:p>
    <w:p>
      <w:pPr>
        <w:pStyle w:val="6"/>
        <w:spacing w:line="400" w:lineRule="exact"/>
        <w:ind w:firstLine="520" w:firstLineChars="200"/>
        <w:jc w:val="left"/>
        <w:rPr>
          <w:bCs/>
          <w:iCs/>
          <w:sz w:val="26"/>
          <w:szCs w:val="26"/>
        </w:rPr>
      </w:pPr>
      <w:r>
        <w:rPr>
          <w:rFonts w:hint="eastAsia"/>
          <w:bCs/>
          <w:iCs/>
          <w:sz w:val="26"/>
          <w:szCs w:val="26"/>
        </w:rPr>
        <w:t xml:space="preserve">近年来，随着我省高等教育投入的不断增加和高校新校区建设的陆续完成，高校教学、科研、办公、后勤服务等公用房 屋面积大量增加，办学条件有了显著改善。截止 2012 年底，全省高校公用房屋价值占学校固定资产总值的比例达到了 60%以上，为教学、科研提供了最重要的物质保障。但由于管理粗放、手段落后、制度缺失、配给失衡以及忽视效益考核、回避存量盘活等原因，一些高校公用房屋供需矛盾仍然十分突出，教师科研、实验、办公条件未得到明显改善，教室、自习室数量不足、座位紧张，学生抢占座位现象普遍存在，师生意见较大。为进一步加强国有资产管理，提高国有资产使用效益，实现公用房屋的科学配给、有效利用，现就有关问题通知如下： </w:t>
      </w:r>
    </w:p>
    <w:p>
      <w:pPr>
        <w:spacing w:line="400" w:lineRule="exact"/>
        <w:ind w:right="136"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一、提高认识，加强领导，切实改进和加强公用房屋管理工作</w:t>
      </w:r>
    </w:p>
    <w:p>
      <w:pPr>
        <w:pStyle w:val="6"/>
        <w:spacing w:line="400" w:lineRule="exact"/>
        <w:ind w:firstLine="520" w:firstLineChars="200"/>
        <w:jc w:val="left"/>
        <w:rPr>
          <w:bCs/>
          <w:iCs/>
          <w:sz w:val="26"/>
          <w:szCs w:val="26"/>
        </w:rPr>
      </w:pPr>
      <w:r>
        <w:rPr>
          <w:rFonts w:hint="eastAsia"/>
          <w:bCs/>
          <w:iCs/>
          <w:sz w:val="26"/>
          <w:szCs w:val="26"/>
        </w:rPr>
        <w:t>公用房屋是高校资产的重要组成部分，是高校事业发展的重要物质基础。各高校要从贯彻落实科学发展观，促进学校健康和可持续发展的高度，高度重视公用房屋管理工作，从加强管理队伍、完善管理制度、改进管理手段、规范管理行为等环节入手，进一步改进和加强公用房屋管理工作，千方百计提高公用房屋使用效益。</w:t>
      </w:r>
    </w:p>
    <w:p>
      <w:pPr>
        <w:pStyle w:val="6"/>
        <w:spacing w:line="400" w:lineRule="exact"/>
        <w:ind w:firstLine="520" w:firstLineChars="200"/>
        <w:jc w:val="left"/>
        <w:rPr>
          <w:bCs/>
          <w:iCs/>
          <w:sz w:val="26"/>
          <w:szCs w:val="26"/>
        </w:rPr>
      </w:pPr>
      <w:r>
        <w:rPr>
          <w:rFonts w:hint="eastAsia"/>
          <w:bCs/>
          <w:iCs/>
          <w:sz w:val="26"/>
          <w:szCs w:val="26"/>
        </w:rPr>
        <w:t>二、理顺体制，健全制度，实现公用房屋管理工作规范化各高校要按照“统一领导、归口管理、分级负责、责任到人”的原则，建立完善的公共房屋管理体制校长要依法履行保护和管理校产的职责，确保公用房屋科学配给、有效利用。资产处作为管理全校资产的职能部门，应代表学校履行公用房屋的日常管理职责，负责起草公用房屋管理制度，拟定公用房屋调配方案，开展公用房屋验收登记、产权申报、出租出借、报废处置和公用房屋清查、基础信息库建设、使用效益考核等工作。各部门、各院系作为公用房屋的归口管理部门和使用单位，要负责公用房屋的有效利用和安全维护工作。</w:t>
      </w:r>
    </w:p>
    <w:p>
      <w:pPr>
        <w:pStyle w:val="6"/>
        <w:spacing w:line="400" w:lineRule="exact"/>
        <w:ind w:firstLine="520" w:firstLineChars="200"/>
        <w:jc w:val="left"/>
        <w:rPr>
          <w:bCs/>
          <w:iCs/>
          <w:sz w:val="26"/>
          <w:szCs w:val="26"/>
        </w:rPr>
      </w:pPr>
      <w:r>
        <w:rPr>
          <w:rFonts w:hint="eastAsia"/>
          <w:bCs/>
          <w:iCs/>
          <w:sz w:val="26"/>
          <w:szCs w:val="26"/>
        </w:rPr>
        <w:t>各高校要制定公用房屋管理办法，明确公用房屋管理、使用部门职责；建立科学、规范的公用房屋管理、使用、调配规程，规范管理、使用、调配行为；制定公用房屋配给定额标准和调配办法，确保公用房屋配给、调配公平、公正、公开、透明。</w:t>
      </w:r>
    </w:p>
    <w:p>
      <w:pPr>
        <w:pStyle w:val="6"/>
        <w:spacing w:line="400" w:lineRule="exact"/>
        <w:ind w:firstLine="520" w:firstLineChars="200"/>
        <w:jc w:val="left"/>
        <w:rPr>
          <w:bCs/>
          <w:iCs/>
          <w:sz w:val="26"/>
          <w:szCs w:val="26"/>
        </w:rPr>
      </w:pPr>
      <w:r>
        <w:rPr>
          <w:rFonts w:hint="eastAsia"/>
          <w:bCs/>
          <w:iCs/>
          <w:sz w:val="26"/>
          <w:szCs w:val="26"/>
        </w:rPr>
        <w:t>建立公共房屋使用专项登记制度和分类管理制度，对公共房屋按照用途和归口部门实行专项登记和分类管理。</w:t>
      </w:r>
    </w:p>
    <w:p>
      <w:pPr>
        <w:pStyle w:val="6"/>
        <w:spacing w:line="400" w:lineRule="exact"/>
        <w:ind w:firstLine="520" w:firstLineChars="200"/>
        <w:jc w:val="left"/>
        <w:rPr>
          <w:bCs/>
          <w:iCs/>
          <w:sz w:val="26"/>
          <w:szCs w:val="26"/>
        </w:rPr>
      </w:pPr>
      <w:r>
        <w:rPr>
          <w:rFonts w:hint="eastAsia"/>
          <w:bCs/>
          <w:iCs/>
          <w:sz w:val="26"/>
          <w:szCs w:val="26"/>
        </w:rPr>
        <w:t>完善公用房屋监督考核制度，加强对公用房屋配给后使用方向、使用效益的监督和考核，杜绝闲置浪费、擅自改变用途和私自出租转租等不规范用房现象。</w:t>
      </w:r>
    </w:p>
    <w:p>
      <w:pPr>
        <w:pStyle w:val="6"/>
        <w:spacing w:line="400" w:lineRule="exact"/>
        <w:ind w:firstLine="520" w:firstLineChars="200"/>
        <w:jc w:val="left"/>
        <w:rPr>
          <w:bCs/>
          <w:iCs/>
          <w:sz w:val="26"/>
          <w:szCs w:val="26"/>
        </w:rPr>
      </w:pPr>
      <w:r>
        <w:rPr>
          <w:rFonts w:hint="eastAsia"/>
          <w:bCs/>
          <w:iCs/>
          <w:sz w:val="26"/>
          <w:szCs w:val="26"/>
        </w:rPr>
        <w:t>三、定额配给，超额有偿使用，实现公用房屋管理工作科学化各高校要进一步增强成本意识和效益意识，建立完善的经济调控和利益引导机制</w:t>
      </w:r>
    </w:p>
    <w:p>
      <w:pPr>
        <w:pStyle w:val="6"/>
        <w:spacing w:line="400" w:lineRule="exact"/>
        <w:ind w:firstLine="520" w:firstLineChars="200"/>
        <w:jc w:val="left"/>
        <w:rPr>
          <w:bCs/>
          <w:iCs/>
          <w:sz w:val="26"/>
          <w:szCs w:val="26"/>
        </w:rPr>
      </w:pPr>
      <w:r>
        <w:rPr>
          <w:rFonts w:hint="eastAsia"/>
          <w:bCs/>
          <w:iCs/>
          <w:sz w:val="26"/>
          <w:szCs w:val="26"/>
        </w:rPr>
        <w:t>在充分调研论证的基础上，针对不同类别的公用房屋，制定不同的配给定额标准。对各部门、各单位占有使用的公用房屋，逐步实行按定额配给、超额有偿使用、缺额补贴的办法，努力提高公用房屋的利用率和使用效益。</w:t>
      </w:r>
    </w:p>
    <w:p>
      <w:pPr>
        <w:pStyle w:val="6"/>
        <w:spacing w:line="400" w:lineRule="exact"/>
        <w:ind w:firstLine="520" w:firstLineChars="200"/>
        <w:jc w:val="left"/>
        <w:rPr>
          <w:bCs/>
          <w:iCs/>
          <w:sz w:val="26"/>
          <w:szCs w:val="26"/>
        </w:rPr>
      </w:pPr>
      <w:r>
        <w:rPr>
          <w:rFonts w:hint="eastAsia"/>
          <w:bCs/>
          <w:iCs/>
          <w:sz w:val="26"/>
          <w:szCs w:val="26"/>
        </w:rPr>
        <w:t>公用房屋配给，要坚持教学、科研用房优先安排的原则， 在优先满足教学、科研需要的前提下，根据学校公用房屋的资源现状和可能，努力改善师生的工作、学习和生活条件。</w:t>
      </w:r>
    </w:p>
    <w:p>
      <w:pPr>
        <w:pStyle w:val="6"/>
        <w:spacing w:line="400" w:lineRule="exact"/>
        <w:ind w:firstLine="520" w:firstLineChars="200"/>
        <w:jc w:val="left"/>
        <w:rPr>
          <w:bCs/>
          <w:iCs/>
          <w:sz w:val="26"/>
          <w:szCs w:val="26"/>
        </w:rPr>
      </w:pPr>
      <w:r>
        <w:rPr>
          <w:rFonts w:hint="eastAsia"/>
          <w:bCs/>
          <w:iCs/>
          <w:sz w:val="26"/>
          <w:szCs w:val="26"/>
        </w:rPr>
        <w:t>建立公用房屋动态调控机制，根据教职工人数、学生人数、教学任务、实验课开设情况、承担科研课题情况等因素，动态 调控各部门、各院系占有使用的公用房屋数量，对使用率高、 配给不足的要及时增加配给；对利用率低或长期闲置的，要及 时收回和重新调配，坚决打破公用房屋占有使用“终身制”。</w:t>
      </w:r>
    </w:p>
    <w:p>
      <w:pPr>
        <w:spacing w:line="400" w:lineRule="exact"/>
        <w:ind w:right="136"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四、运用现代信息技术，改革传统管理模式，实现公用房屋管理工作现代化</w:t>
      </w:r>
    </w:p>
    <w:p>
      <w:pPr>
        <w:pStyle w:val="6"/>
        <w:spacing w:line="400" w:lineRule="exact"/>
        <w:ind w:firstLine="520" w:firstLineChars="200"/>
        <w:jc w:val="left"/>
        <w:rPr>
          <w:bCs/>
          <w:iCs/>
          <w:sz w:val="26"/>
          <w:szCs w:val="26"/>
        </w:rPr>
      </w:pPr>
      <w:r>
        <w:rPr>
          <w:rFonts w:hint="eastAsia"/>
          <w:bCs/>
          <w:iCs/>
          <w:sz w:val="26"/>
          <w:szCs w:val="26"/>
        </w:rPr>
        <w:t>公用房屋存量大，分布广，种类复杂，管理难度大，传统的手工管理模式已经无法适应高校公用房屋管理工作的要求。各高校要充分运用现代信息技术，以校园网络为依托，建设公用房屋管理系统，实现公用房屋管理工作现代化。</w:t>
      </w:r>
    </w:p>
    <w:p>
      <w:pPr>
        <w:pStyle w:val="6"/>
        <w:spacing w:line="400" w:lineRule="exact"/>
        <w:ind w:firstLine="520" w:firstLineChars="200"/>
        <w:jc w:val="left"/>
        <w:rPr>
          <w:bCs/>
          <w:iCs/>
          <w:sz w:val="26"/>
          <w:szCs w:val="26"/>
        </w:rPr>
      </w:pPr>
      <w:r>
        <w:rPr>
          <w:rFonts w:hint="eastAsia"/>
          <w:bCs/>
          <w:iCs/>
          <w:sz w:val="26"/>
          <w:szCs w:val="26"/>
        </w:rPr>
        <w:t>针对我省高校公用房屋管理现状和管理需求，我厅组织研发了《山东省高等学校公用房屋管理系统》（以下简称《公用房屋管理系统》）。该系统按照国家标准采集房屋信息数据， 借助校园网，实施房间分配、使用变动等业务操作；通过设置管理权限，规范各部门、各单位的公用房屋管理活动；系统具有配给定额设置与核算功能，自动生成各类公用房屋管理数据； 信息查询、数据分析和统计报表生成简便、快捷。为加快全省高校公用房屋管理工作规范化、科学化、现代化进程，方便全省高校公用房屋数据定期汇总和报表上报，各高校要在今年年 底以前安装运行《公用房屋管理系统》。</w:t>
      </w:r>
    </w:p>
    <w:p>
      <w:pPr>
        <w:pStyle w:val="6"/>
        <w:spacing w:line="400" w:lineRule="exact"/>
        <w:ind w:firstLine="520" w:firstLineChars="200"/>
        <w:jc w:val="left"/>
        <w:rPr>
          <w:bCs/>
          <w:iCs/>
          <w:sz w:val="26"/>
          <w:szCs w:val="26"/>
        </w:rPr>
      </w:pPr>
      <w:r>
        <w:rPr>
          <w:rFonts w:hint="eastAsia"/>
          <w:bCs/>
          <w:iCs/>
          <w:sz w:val="26"/>
          <w:szCs w:val="26"/>
        </w:rPr>
        <w:t>在安装运行 《公用房屋管理系统》前，各高校要组织专门力量，对现有各类公用房屋采取逐间排查的方式，彻底摸清教学用房、实验用房、办公用房、后勤服务用房等每个房间的购建年代、建筑结构、安全等级、建筑面积、用途、现状、使用单位及使用人员（数）等情况，绘制平面结构示意图，建立公用房屋基础信息档案。各高校要以建设公用房屋管理系统为契机，积极构建管理规范、配置科学、使用合理、绩效显著的公用房屋管理新机制。</w:t>
      </w:r>
    </w:p>
    <w:p>
      <w:pPr>
        <w:pStyle w:val="6"/>
        <w:spacing w:line="400" w:lineRule="exact"/>
        <w:ind w:firstLine="520" w:firstLineChars="200"/>
        <w:jc w:val="left"/>
        <w:rPr>
          <w:bCs/>
          <w:iCs/>
          <w:sz w:val="26"/>
          <w:szCs w:val="26"/>
        </w:rPr>
      </w:pPr>
      <w:r>
        <w:rPr>
          <w:rFonts w:hint="eastAsia"/>
          <w:bCs/>
          <w:iCs/>
          <w:sz w:val="26"/>
          <w:szCs w:val="26"/>
        </w:rPr>
        <w:t>建设公用房屋管理系统，提高全省高校公用房屋管理工作规范化、科学化、现代化水平，是我厅今年资产管理工作的重点，各高校要高度重视，认真组织实施。</w:t>
      </w:r>
    </w:p>
    <w:p>
      <w:pPr>
        <w:pStyle w:val="6"/>
        <w:spacing w:line="400" w:lineRule="exact"/>
        <w:ind w:firstLine="520" w:firstLineChars="200"/>
        <w:jc w:val="left"/>
        <w:rPr>
          <w:bCs/>
          <w:iCs/>
          <w:sz w:val="26"/>
          <w:szCs w:val="26"/>
        </w:rPr>
      </w:pPr>
    </w:p>
    <w:p>
      <w:pPr>
        <w:pStyle w:val="6"/>
        <w:spacing w:line="400" w:lineRule="exact"/>
        <w:ind w:firstLine="4810" w:firstLineChars="1850"/>
        <w:jc w:val="left"/>
        <w:rPr>
          <w:bCs/>
          <w:iCs/>
          <w:sz w:val="26"/>
          <w:szCs w:val="26"/>
        </w:rPr>
      </w:pPr>
      <w:r>
        <w:rPr>
          <w:rFonts w:hint="eastAsia"/>
          <w:bCs/>
          <w:iCs/>
          <w:sz w:val="26"/>
          <w:szCs w:val="26"/>
        </w:rPr>
        <w:t>山东省教育厅</w:t>
      </w:r>
    </w:p>
    <w:p>
      <w:pPr>
        <w:pStyle w:val="6"/>
        <w:spacing w:line="400" w:lineRule="exact"/>
        <w:ind w:firstLine="4420" w:firstLineChars="1700"/>
        <w:jc w:val="left"/>
        <w:rPr>
          <w:bCs/>
          <w:iCs/>
          <w:sz w:val="26"/>
          <w:szCs w:val="26"/>
        </w:rPr>
      </w:pPr>
      <w:r>
        <w:rPr>
          <w:rFonts w:hint="eastAsia"/>
          <w:bCs/>
          <w:iCs/>
          <w:sz w:val="26"/>
          <w:szCs w:val="26"/>
        </w:rPr>
        <w:t>2013 年 3 月 12 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国家发展改革委 住房城乡建设部关于印发党政机关</w:t>
      </w: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办公用房建设标准的通知</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发改投资[2014]2674 号</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中央和国家机关各部委、各直属机构，各人民团体，各省、自治区、直辖市及计划单列市、新疆生产建设兵团发展改革委、住房和城乡建设厅（局、委）：</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根据中共中央办公厅、国务院办公厅《关于党政机关停止 新建楼堂馆所和清理办公用房的通知》（中办发〔2013〕17 号） 有关大力弘扬艰苦奋斗、勤俭节约优良作风，认真贯彻落实中央八项规定精神的要求，发展改革委、住房城乡建设部会同有关部门在深入调查研究和广泛征求意见的基础上，对 1999 年颁布实施的党政机关办公用房建设标准进行了修订。经报请党中央、国务院批准，现将修订后的《党政机关办公用房建设标准》印发给你们，请按照执行。</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附件：党政机关办公用房建设标准</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3640" w:firstLineChars="14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国家发展改革委 住房城乡建设部</w:t>
      </w:r>
    </w:p>
    <w:p>
      <w:pPr>
        <w:spacing w:line="400" w:lineRule="exact"/>
        <w:ind w:firstLine="4420" w:firstLineChars="17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2014 年 11 月 24 日</w:t>
      </w:r>
      <w:bookmarkStart w:id="21" w:name="8_2014党政机关办公用房建设标准"/>
      <w:bookmarkEnd w:id="21"/>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br w:type="page"/>
      </w:r>
      <w:r>
        <w:rPr>
          <w:rFonts w:hint="eastAsia" w:ascii="方正仿宋简体" w:hAnsi="方正仿宋简体" w:eastAsia="方正仿宋简体" w:cs="方正仿宋简体"/>
          <w:bCs/>
          <w:iCs/>
          <w:sz w:val="26"/>
          <w:szCs w:val="26"/>
        </w:rPr>
        <w:t>目</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录</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第一章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总则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第二章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 xml:space="preserve">建筑分类与面积指标 </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第三章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选址、布局与建设用地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第四章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建筑标准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第五章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建筑装修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第六章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室内环境与建筑设备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第七章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智能化系统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第八章</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附则</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本建设标准用词和用语说明</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党政机关办公用房建设标准条文说明</w:t>
      </w:r>
    </w:p>
    <w:p>
      <w:pPr>
        <w:spacing w:line="400" w:lineRule="exact"/>
        <w:ind w:firstLine="520" w:firstLineChars="200"/>
        <w:jc w:val="center"/>
        <w:rPr>
          <w:rFonts w:ascii="方正仿宋简体" w:hAnsi="方正仿宋简体" w:eastAsia="方正仿宋简体" w:cs="方正仿宋简体"/>
          <w:b/>
          <w:bCs/>
          <w:sz w:val="26"/>
          <w:szCs w:val="26"/>
        </w:rPr>
      </w:pPr>
      <w:r>
        <w:rPr>
          <w:rFonts w:hint="eastAsia" w:ascii="方正仿宋简体" w:hAnsi="方正仿宋简体" w:eastAsia="方正仿宋简体" w:cs="方正仿宋简体"/>
          <w:b/>
          <w:bCs/>
          <w:sz w:val="26"/>
          <w:szCs w:val="26"/>
        </w:rPr>
        <w:br w:type="page"/>
      </w:r>
      <w:r>
        <w:rPr>
          <w:rFonts w:hint="eastAsia" w:ascii="方正小标宋简体" w:eastAsia="方正小标宋简体"/>
          <w:b/>
          <w:sz w:val="32"/>
          <w:szCs w:val="21"/>
        </w:rPr>
        <w:t>党政机关办公用房建设标准</w:t>
      </w:r>
    </w:p>
    <w:p>
      <w:pPr>
        <w:spacing w:line="400" w:lineRule="exact"/>
        <w:ind w:firstLine="520" w:firstLineChars="200"/>
        <w:jc w:val="left"/>
        <w:rPr>
          <w:rFonts w:ascii="方正仿宋简体" w:hAnsi="方正仿宋简体" w:eastAsia="方正仿宋简体" w:cs="方正仿宋简体"/>
          <w:b/>
          <w:bCs/>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第一条</w:t>
      </w:r>
      <w:r>
        <w:rPr>
          <w:rFonts w:hint="eastAsia" w:ascii="方正仿宋简体" w:hAnsi="方正仿宋简体" w:eastAsia="方正仿宋简体" w:cs="方正仿宋简体"/>
          <w:bCs/>
          <w:iCs/>
          <w:sz w:val="26"/>
          <w:szCs w:val="26"/>
        </w:rPr>
        <w:t xml:space="preserve"> 为规范党政机关办公用房建设，提高投资决策科学化水平，合理确定党政机关办公用房的建设内容、建设规模和标准，满足办公使用功能的需要，加强管理和监督，制定本建设标准。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第二条</w:t>
      </w:r>
      <w:r>
        <w:rPr>
          <w:rFonts w:hint="eastAsia" w:ascii="方正仿宋简体" w:hAnsi="方正仿宋简体" w:eastAsia="方正仿宋简体" w:cs="方正仿宋简体"/>
          <w:bCs/>
          <w:iCs/>
          <w:sz w:val="26"/>
          <w:szCs w:val="26"/>
        </w:rPr>
        <w:t xml:space="preserve"> 本建设标准是党政机关办公用房建设项目决策和建设的全国统一标准，是编制、评估和审批党政机关办公用房建设项目的项目建议书、可行性研究报告、初步设计以及对项目建设进行监督检查的重要依据。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第三条</w:t>
      </w:r>
      <w:r>
        <w:rPr>
          <w:rFonts w:hint="eastAsia" w:ascii="方正仿宋简体" w:hAnsi="方正仿宋简体" w:eastAsia="方正仿宋简体" w:cs="方正仿宋简体"/>
          <w:bCs/>
          <w:iCs/>
          <w:sz w:val="26"/>
          <w:szCs w:val="26"/>
        </w:rPr>
        <w:t xml:space="preserve"> 本建设标准适用于全国乡（镇、苏木）级及以上党的机关、人大机关、行政机关、政协机关、审判机关、检察机关，工会、共青团、妇联等人民团体机关，以及各级机关组成机构、直属机构、派出机构和直属事业单位（以下统称党政机关）办公用房的新建（或购置）、改建和扩建工程。配备、租用办公用房参照执行。</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 xml:space="preserve"> 党政机关办公用房建设必须贯彻艰苦奋斗、勤俭节约、反对浪费的方针，按照统筹兼顾、适用为主、满足办公需要的原则进行建设。</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集中建设或联合建设的办公用房，应充分利用公共服务和附属设施，打破系统、部门之间的界限，实行统一规划、集中管理、共同使用。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第五条 </w:t>
      </w:r>
      <w:r>
        <w:rPr>
          <w:rFonts w:hint="eastAsia" w:ascii="方正仿宋简体" w:hAnsi="方正仿宋简体" w:eastAsia="方正仿宋简体" w:cs="方正仿宋简体"/>
          <w:bCs/>
          <w:iCs/>
          <w:sz w:val="26"/>
          <w:szCs w:val="26"/>
        </w:rPr>
        <w:t>党政机关办公用房建设必须符合土地利用和城乡规划要求，从严控制用地规模，严格土地审批，节约集约用地，严禁超标准占地、低效利用土地，不得占用耕地，新建项目不得配套建设大型广场、公园等设施。</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第六条 </w:t>
      </w:r>
      <w:r>
        <w:rPr>
          <w:rFonts w:hint="eastAsia" w:ascii="方正仿宋简体" w:hAnsi="方正仿宋简体" w:eastAsia="方正仿宋简体" w:cs="方正仿宋简体"/>
          <w:bCs/>
          <w:iCs/>
          <w:sz w:val="26"/>
          <w:szCs w:val="26"/>
        </w:rPr>
        <w:t>党政机关办公用房建设应做到庄重、朴素、经济、适用和资源节约，不得定位为城市标志性建筑。外立面不得搞豪华装修，内装修应简洁朴素。</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第七条</w:t>
      </w:r>
      <w:r>
        <w:rPr>
          <w:rFonts w:hint="eastAsia" w:ascii="方正仿宋简体" w:hAnsi="方正仿宋简体" w:eastAsia="方正仿宋简体" w:cs="方正仿宋简体"/>
          <w:bCs/>
          <w:iCs/>
          <w:sz w:val="26"/>
          <w:szCs w:val="26"/>
        </w:rPr>
        <w:t xml:space="preserve"> 党政机关办公用房的建设规模应根据使用单位的类别和各级别编制定员，按照本建设标准的规定确定建筑面积。严禁超规模、超标准、超投资建设党政机关办公用房。</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第八条 </w:t>
      </w:r>
      <w:r>
        <w:rPr>
          <w:rFonts w:hint="eastAsia" w:ascii="方正仿宋简体" w:hAnsi="方正仿宋简体" w:eastAsia="方正仿宋简体" w:cs="方正仿宋简体"/>
          <w:bCs/>
          <w:iCs/>
          <w:sz w:val="26"/>
          <w:szCs w:val="26"/>
        </w:rPr>
        <w:t>党政机关办公用房的建设除应符合本建设标准外，还应符合国家关于安全、资源节约、环境保护、卫生、绿色建筑等标准和规范要求。</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第二章建筑分类与面积指标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w:t>
      </w:r>
      <w:r>
        <w:rPr>
          <w:rFonts w:hint="eastAsia" w:ascii="楷体" w:hAnsi="楷体" w:eastAsia="楷体" w:cs="楷体"/>
          <w:bCs/>
          <w:iCs/>
          <w:sz w:val="26"/>
          <w:szCs w:val="26"/>
        </w:rPr>
        <w:t xml:space="preserve">九条 </w:t>
      </w:r>
      <w:r>
        <w:rPr>
          <w:rFonts w:hint="eastAsia" w:ascii="方正仿宋简体" w:hAnsi="方正仿宋简体" w:eastAsia="方正仿宋简体" w:cs="方正仿宋简体"/>
          <w:bCs/>
          <w:iCs/>
          <w:sz w:val="26"/>
          <w:szCs w:val="26"/>
        </w:rPr>
        <w:t>党政机关办公用房根据单位级别和性质分为五类，其适用对象见表1。</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表1 党政机关办公用房类别划分</w:t>
      </w:r>
    </w:p>
    <w:tbl>
      <w:tblPr>
        <w:tblStyle w:val="14"/>
        <w:tblW w:w="8820"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7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409"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别</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适</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用</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对</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140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中央部（委）级党的机关、人大机关、行政机关、政协机关、审判机关、检察机关，工会、共青团、妇联等人民团体机关，以及各机关派出机构和直属事业单位。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8" w:hRule="atLeast"/>
        </w:trPr>
        <w:tc>
          <w:tcPr>
            <w:tcW w:w="140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省（自治区、直辖市）级党的机关、人大机关、行政机关、政协机关、审判机关、检察机关，工会、共青团、妇联等人民团体机关，以及各机关的组成机构、直属机构、派出机构和直属事业单位。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140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市（地、州、盟）级党的机关、人大机关、行政机关、政协机关、审判机关、检察机关，工会、共青团、妇联等人民团体机关，以及各机关的组成机构、直属机构、派出机构和直属事业单位。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8" w:hRule="atLeast"/>
        </w:trPr>
        <w:tc>
          <w:tcPr>
            <w:tcW w:w="140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县（市、旗）级党的机关、人大机关、行政机关、政协机关、审判机关、检察机关，工会、共青团、妇联等人民团体机关，以及各机关的组成机构、直属机构、派出机构和直属事业单位。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140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7411"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乡（镇、苏木）级党的机关、人大机关、行政机关及其他机关。</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党政机关办公用房由基本办公用房（办公室、服务房、设备用房）、附属用房两部分组成，并应符合表2的规定。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表2 党政机关办公用房功能分类</w:t>
      </w:r>
    </w:p>
    <w:tbl>
      <w:tblPr>
        <w:tblStyle w:val="14"/>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996"/>
        <w:gridCol w:w="6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6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办公用房</w:t>
            </w:r>
          </w:p>
        </w:tc>
        <w:tc>
          <w:tcPr>
            <w:tcW w:w="7200"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包括内容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620"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基本办公用房</w:t>
            </w:r>
          </w:p>
        </w:tc>
        <w:tc>
          <w:tcPr>
            <w:tcW w:w="9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办公室</w:t>
            </w:r>
          </w:p>
        </w:tc>
        <w:tc>
          <w:tcPr>
            <w:tcW w:w="6204"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包括领导人员办公室和一般工作人员办公室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62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9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服务用房</w:t>
            </w:r>
          </w:p>
        </w:tc>
        <w:tc>
          <w:tcPr>
            <w:tcW w:w="6204"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包括会议室、接待室、档案室、图书资料室、机关信息网络用房、机要保密室、文印室、收发室、医务室、值班室、储藏室、物业及工勤人员用房、开水间、卫生间等。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62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9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设备用房</w:t>
            </w:r>
          </w:p>
        </w:tc>
        <w:tc>
          <w:tcPr>
            <w:tcW w:w="6204"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包括变配电室、水泵房、水箱间、中水处理间、锅炉房（或热力交换站）、空调机房、通信机房、电梯机房、建筑智能化系统设备用房等。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6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附属用房</w:t>
            </w:r>
          </w:p>
        </w:tc>
        <w:tc>
          <w:tcPr>
            <w:tcW w:w="7200" w:type="dxa"/>
            <w:gridSpan w:val="2"/>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包括食堂、停车库（汽车库，自行车库，电动车、摩托车库）、警卫用房、人防设施等。</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注：表中所称领导人员是指独立法人单位的领导班子成员。</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第十一条</w:t>
      </w:r>
      <w:r>
        <w:rPr>
          <w:rFonts w:hint="eastAsia" w:ascii="方正仿宋简体" w:hAnsi="方正仿宋简体" w:eastAsia="方正仿宋简体" w:cs="方正仿宋简体"/>
          <w:bCs/>
          <w:iCs/>
          <w:sz w:val="26"/>
          <w:szCs w:val="26"/>
        </w:rPr>
        <w:t>各级工作人员办公室使用面积不应超过表3的规定：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表3</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各级工作人员办公室使用面积</w:t>
      </w:r>
    </w:p>
    <w:tbl>
      <w:tblPr>
        <w:tblStyle w:val="14"/>
        <w:tblW w:w="0" w:type="auto"/>
        <w:tblInd w:w="4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1"/>
        <w:gridCol w:w="3059"/>
        <w:gridCol w:w="3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80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别</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适用对象</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使用面积（平方米/人）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部级正职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部级副职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正司（局）级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副司（局）级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处级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处级以下</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省级正职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省级副职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正厅（局）级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副厅（局）级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正处级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副处级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处级以下</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市级正职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市级副职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正局(处)级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副局(处)级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局(处)级以下</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县级正职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县级副职</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正科级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副科级</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科级以下</w:t>
            </w:r>
          </w:p>
        </w:tc>
        <w:tc>
          <w:tcPr>
            <w:tcW w:w="34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801"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30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乡级正职</w:t>
            </w:r>
          </w:p>
        </w:tc>
        <w:tc>
          <w:tcPr>
            <w:tcW w:w="3420"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由省级人民政府按照中央规定和精神自行做出规定，原则上不得超过县级副职。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乡级副职</w:t>
            </w:r>
          </w:p>
        </w:tc>
        <w:tc>
          <w:tcPr>
            <w:tcW w:w="3420" w:type="dxa"/>
            <w:vMerge w:val="continue"/>
            <w:tcBorders>
              <w:top w:val="nil"/>
            </w:tcBorders>
          </w:tcPr>
          <w:p>
            <w:pPr>
              <w:spacing w:line="400" w:lineRule="exact"/>
              <w:ind w:firstLine="520" w:firstLineChars="200"/>
              <w:jc w:val="left"/>
              <w:rPr>
                <w:rFonts w:ascii="方正仿宋简体" w:hAnsi="方正仿宋简体" w:eastAsia="方正仿宋简体" w:cs="方正仿宋简体"/>
                <w:bCs/>
                <w:iCs/>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801" w:type="dxa"/>
            <w:vMerge w:val="continue"/>
            <w:tcBorders>
              <w:top w:val="nil"/>
            </w:tcBorders>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3059"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乡级以下</w:t>
            </w:r>
          </w:p>
        </w:tc>
        <w:tc>
          <w:tcPr>
            <w:tcW w:w="3420" w:type="dxa"/>
            <w:vMerge w:val="continue"/>
            <w:tcBorders>
              <w:top w:val="nil"/>
            </w:tcBorders>
          </w:tcPr>
          <w:p>
            <w:pPr>
              <w:spacing w:line="400" w:lineRule="exact"/>
              <w:ind w:firstLine="520" w:firstLineChars="200"/>
              <w:jc w:val="left"/>
              <w:rPr>
                <w:rFonts w:ascii="方正仿宋简体" w:hAnsi="方正仿宋简体" w:eastAsia="方正仿宋简体" w:cs="方正仿宋简体"/>
                <w:bCs/>
                <w:iCs/>
                <w:sz w:val="26"/>
                <w:szCs w:val="26"/>
              </w:rPr>
            </w:pP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1、副省级城市、副部级单位副职办公室面积指标按不超过省（部）级副职标准执行，其组成部门的正、副局（司）级人员办公室面积指标按不超过省级机关或中央机关相应的正、副厅（局、司）级标准执行。副市（厅）、副县（处）级单位以此类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中央机关司（局）级派出机构、事业单位按省级机关厅（局）级单位标准执行，处级派出机构、事业单位按市级机关局（处）级单位标准执行；省级机关处级直属机构、派出机构、事业单位按市级机关局（处）级单位标准执行，科级派出机构、事业单位按县级机关科级单位标准执行。其他以此类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3、各级党政机关领导人员办公室可在上列规定的办公室使用面积范围内配备休息室。</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4、省部级领导人员、省（自治区、直辖市）所属厅（局）正职和市（地、州、盟）、县（市、区、旗）党政正职办公室可在上列规定的办公室使用面积范围内配备不超过6平方米的卫生间。</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第十二条</w:t>
      </w:r>
      <w:r>
        <w:rPr>
          <w:rFonts w:hint="eastAsia" w:ascii="方正仿宋简体" w:hAnsi="方正仿宋简体" w:eastAsia="方正仿宋简体" w:cs="方正仿宋简体"/>
          <w:bCs/>
          <w:iCs/>
          <w:sz w:val="26"/>
          <w:szCs w:val="26"/>
        </w:rPr>
        <w:t xml:space="preserve"> 服务用房使用面积不应超过表4的规定：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表4</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服务用房编制定员人均使用面积</w:t>
      </w:r>
    </w:p>
    <w:tbl>
      <w:tblPr>
        <w:tblStyle w:val="14"/>
        <w:tblW w:w="0" w:type="auto"/>
        <w:tblInd w:w="4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0"/>
        <w:gridCol w:w="1980"/>
        <w:gridCol w:w="4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0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别</w:t>
            </w:r>
          </w:p>
        </w:tc>
        <w:tc>
          <w:tcPr>
            <w:tcW w:w="19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使用面积（平方</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米/人）</w:t>
            </w:r>
          </w:p>
        </w:tc>
        <w:tc>
          <w:tcPr>
            <w:tcW w:w="48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计算方法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0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19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7～9</w:t>
            </w:r>
          </w:p>
        </w:tc>
        <w:tc>
          <w:tcPr>
            <w:tcW w:w="48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200人及以下取上限，400人及以上取下限,中间值用公式(1100-x)/100计算确定。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0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19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6～8</w:t>
            </w:r>
          </w:p>
        </w:tc>
        <w:tc>
          <w:tcPr>
            <w:tcW w:w="48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200人及以下取上限，400人及以上取下限,中间值用公式(1000-x)/100计算确定。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0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19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6～8</w:t>
            </w:r>
          </w:p>
        </w:tc>
        <w:tc>
          <w:tcPr>
            <w:tcW w:w="48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100人及以下取上限，200人及以上取下限,中间值用公式(500-x)/50计算确定。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80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19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由省级人民政府按照中央规定和精神自行做出规定，原则上不得超过县级机关。</w:t>
            </w:r>
          </w:p>
        </w:tc>
        <w:tc>
          <w:tcPr>
            <w:tcW w:w="48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注：表中x为编制定员。</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第十三条</w:t>
      </w:r>
      <w:r>
        <w:rPr>
          <w:rFonts w:hint="eastAsia" w:ascii="方正仿宋简体" w:hAnsi="方正仿宋简体" w:eastAsia="方正仿宋简体" w:cs="方正仿宋简体"/>
          <w:bCs/>
          <w:iCs/>
          <w:sz w:val="26"/>
          <w:szCs w:val="26"/>
        </w:rPr>
        <w:t xml:space="preserve"> 设备用房使用面积应根据地理位置、建设规模以及相关设备需求确定，宜按办公室和服务用房使用面积之和的9</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测算。</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第十四条</w:t>
      </w:r>
      <w:r>
        <w:rPr>
          <w:rFonts w:hint="eastAsia" w:ascii="方正仿宋简体" w:hAnsi="方正仿宋简体" w:eastAsia="方正仿宋简体" w:cs="方正仿宋简体"/>
          <w:bCs/>
          <w:iCs/>
          <w:sz w:val="26"/>
          <w:szCs w:val="26"/>
        </w:rPr>
        <w:t xml:space="preserve"> 党政机关办公用房应合理确定门厅、走廊、电梯厅等面积，提高使用面积系数。基本办公用房建筑总使用面积系数，多层建筑不应低于65</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，高层建筑不应低于60</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第十五条</w:t>
      </w:r>
      <w:r>
        <w:rPr>
          <w:rFonts w:hint="eastAsia" w:ascii="方正仿宋简体" w:hAnsi="方正仿宋简体" w:eastAsia="方正仿宋简体" w:cs="方正仿宋简体"/>
          <w:bCs/>
          <w:iCs/>
          <w:sz w:val="26"/>
          <w:szCs w:val="26"/>
        </w:rPr>
        <w:t>附属用房建筑面积，不应超过下列规定：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1、食堂：食堂餐厅及厨房建筑面积按编制定员计算，编制定员100人及以下的，人均建筑面积为3.7平方米；编制定员超过100人的，超出人员的人均建筑面积为2.6平方米。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停车库：总停车位数应满足城乡规划建设要求，汽车库建筑面积指标为40平方米/辆，超出200个车位以上部分为38平方米/辆，可设置新能源汽车充电桩；自行车库建筑面积指标为1.8平方米/辆；电动车、摩托车库建筑面积指标为2.5 平方米/辆。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3、警卫用房：宜按警卫编制定员及武警营房建筑面积标准计算，人均建筑面积为25平方米。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4、人防设施：应按国家人防部门规定的设防范围和标准计列建筑面积，本着平战结合、充分利用的原则，在平时可以兼作地下车库、物品仓库等。</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第十六条 </w:t>
      </w:r>
      <w:r>
        <w:rPr>
          <w:rFonts w:hint="eastAsia" w:ascii="方正仿宋简体" w:hAnsi="方正仿宋简体" w:eastAsia="方正仿宋简体" w:cs="方正仿宋简体"/>
          <w:bCs/>
          <w:iCs/>
          <w:sz w:val="26"/>
          <w:szCs w:val="26"/>
        </w:rPr>
        <w:t>党政机关办公用房总建筑面积可按下式计算得出：S=[A＋B＋(A＋B) ×9</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]/K＋C</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式中：S—总建筑面积；</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A—各级工作人员办公室总使用面积；B—服务用房总使用面积；K—基本办公用房建筑总使用面积系数；C—附属用房总建筑面积。</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选址、布局与建设用地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第十七条</w:t>
      </w:r>
      <w:r>
        <w:rPr>
          <w:rFonts w:hint="eastAsia" w:ascii="方正仿宋简体" w:hAnsi="方正仿宋简体" w:eastAsia="方正仿宋简体" w:cs="方正仿宋简体"/>
          <w:bCs/>
          <w:iCs/>
          <w:sz w:val="26"/>
          <w:szCs w:val="26"/>
        </w:rPr>
        <w:t xml:space="preserve"> 党政机关办公用房选址应符合当地土地利用总体规划和城乡规划的要求，在规划确定的城镇建设用地范围内，选择位置适合、交通便利、环境适宜、基础设施和地质条件良好、有利于安全保卫的地点。</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第十八条</w:t>
      </w:r>
      <w:r>
        <w:rPr>
          <w:rFonts w:hint="eastAsia" w:ascii="方正仿宋简体" w:hAnsi="方正仿宋简体" w:eastAsia="方正仿宋简体" w:cs="方正仿宋简体"/>
          <w:bCs/>
          <w:iCs/>
          <w:sz w:val="26"/>
          <w:szCs w:val="26"/>
        </w:rPr>
        <w:t xml:space="preserve"> 党政机关办公用房在城市中的布局宜相对集中。联合建设时，其设备用房和附属用房等应统一规划与建设。</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第十九条</w:t>
      </w:r>
      <w:r>
        <w:rPr>
          <w:rFonts w:hint="eastAsia" w:ascii="方正仿宋简体" w:hAnsi="方正仿宋简体" w:eastAsia="方正仿宋简体" w:cs="方正仿宋简体"/>
          <w:bCs/>
          <w:iCs/>
          <w:sz w:val="26"/>
          <w:szCs w:val="26"/>
        </w:rPr>
        <w:t xml:space="preserve"> 党政机关办公用房的建筑总平面布置应遵循功能组织合理、建筑组合紧凑、服务资源共享的原则，科学合理组织和利用地上、地下空间。</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第二十条</w:t>
      </w:r>
      <w:r>
        <w:rPr>
          <w:rFonts w:hint="eastAsia" w:ascii="方正仿宋简体" w:hAnsi="方正仿宋简体" w:eastAsia="方正仿宋简体" w:cs="方正仿宋简体"/>
          <w:bCs/>
          <w:iCs/>
          <w:sz w:val="26"/>
          <w:szCs w:val="26"/>
        </w:rPr>
        <w:t xml:space="preserve"> 党政机关办公用房建设用地包括：建筑主体及其附属建筑用地、道路及停车用地、绿化用地等。</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第二十一条 </w:t>
      </w:r>
      <w:r>
        <w:rPr>
          <w:rFonts w:hint="eastAsia" w:ascii="方正仿宋简体" w:hAnsi="方正仿宋简体" w:eastAsia="方正仿宋简体" w:cs="方正仿宋简体"/>
          <w:bCs/>
          <w:iCs/>
          <w:sz w:val="26"/>
          <w:szCs w:val="26"/>
        </w:rPr>
        <w:t>党政机关办公用房改建、扩建工程应充分利用原有场地和设施，减少新增用地。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第二十二条</w:t>
      </w:r>
      <w:r>
        <w:rPr>
          <w:rFonts w:hint="eastAsia" w:ascii="方正仿宋简体" w:hAnsi="方正仿宋简体" w:eastAsia="方正仿宋简体" w:cs="方正仿宋简体"/>
          <w:bCs/>
          <w:iCs/>
          <w:sz w:val="26"/>
          <w:szCs w:val="26"/>
        </w:rPr>
        <w:t xml:space="preserve"> 党政机关办公用房建设用地不得用于建造与办公无关的居住或商用建筑等，不得占用风景名胜资源。</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第二十三条</w:t>
      </w:r>
      <w:r>
        <w:rPr>
          <w:rFonts w:hint="eastAsia" w:ascii="方正仿宋简体" w:hAnsi="方正仿宋简体" w:eastAsia="方正仿宋简体" w:cs="方正仿宋简体"/>
          <w:bCs/>
          <w:iCs/>
          <w:sz w:val="26"/>
          <w:szCs w:val="26"/>
        </w:rPr>
        <w:t xml:space="preserve"> 党政机关办公用房的建筑容积率不应小于表 5 的规定，并应满足所在地城乡规划与建设的相关控制要求。</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5</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建筑容积率指标</w:t>
      </w:r>
    </w:p>
    <w:tbl>
      <w:tblPr>
        <w:tblStyle w:val="14"/>
        <w:tblW w:w="0" w:type="auto"/>
        <w:tblInd w:w="4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19"/>
        <w:gridCol w:w="4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类别</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容积率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31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由省级人民政府按照中央规定和精神自行做出规定。</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第二十四条</w:t>
      </w:r>
      <w:r>
        <w:rPr>
          <w:rFonts w:hint="eastAsia" w:ascii="方正仿宋简体" w:hAnsi="方正仿宋简体" w:eastAsia="方正仿宋简体" w:cs="方正仿宋简体"/>
          <w:bCs/>
          <w:iCs/>
          <w:sz w:val="26"/>
          <w:szCs w:val="26"/>
        </w:rPr>
        <w:t xml:space="preserve"> 党政机关办公用房总停车位数应满足当地城乡规划建设要求，地面停车场面积指标为：汽车 25 平方米/辆，自行车1.2 平方米/辆，电动车、摩托车 1.8 平方米/辆。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第二十五条</w:t>
      </w:r>
      <w:r>
        <w:rPr>
          <w:rFonts w:hint="eastAsia" w:ascii="方正仿宋简体" w:hAnsi="方正仿宋简体" w:eastAsia="方正仿宋简体" w:cs="方正仿宋简体"/>
          <w:bCs/>
          <w:iCs/>
          <w:sz w:val="26"/>
          <w:szCs w:val="26"/>
        </w:rPr>
        <w:t xml:space="preserve"> 党政机关办公用房建设用地的绿地率不宜低于 30％，并应满足当地城乡规划和建设有关绿地的控制要求。绿化植被应采用本土植物，不得移栽大树、古树，以降低绿化成本。</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建筑标准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第二十六条</w:t>
      </w:r>
      <w:r>
        <w:rPr>
          <w:rFonts w:hint="eastAsia" w:ascii="方正仿宋简体" w:hAnsi="方正仿宋简体" w:eastAsia="方正仿宋简体" w:cs="方正仿宋简体"/>
          <w:bCs/>
          <w:iCs/>
          <w:sz w:val="26"/>
          <w:szCs w:val="26"/>
        </w:rPr>
        <w:t xml:space="preserve"> 党政机关办公用房不宜建造一、二层的低层建筑，也不应建造超高层、超大体量的建筑。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第二十七条</w:t>
      </w:r>
      <w:r>
        <w:rPr>
          <w:rFonts w:hint="eastAsia" w:ascii="方正仿宋简体" w:hAnsi="方正仿宋简体" w:eastAsia="方正仿宋简体" w:cs="方正仿宋简体"/>
          <w:bCs/>
          <w:iCs/>
          <w:sz w:val="26"/>
          <w:szCs w:val="26"/>
        </w:rPr>
        <w:t xml:space="preserve"> 党政机关基本办公用房建筑面积小于（等于）表 6 的规定时，不宜单独建设。</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6</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建筑面积控制指标</w:t>
      </w:r>
    </w:p>
    <w:tbl>
      <w:tblPr>
        <w:tblStyle w:val="14"/>
        <w:tblW w:w="0" w:type="auto"/>
        <w:tblInd w:w="6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0"/>
        <w:gridCol w:w="4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类别</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建筑面积（平方米）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41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432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bl>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第二十八条</w:t>
      </w:r>
      <w:r>
        <w:rPr>
          <w:rFonts w:hint="eastAsia" w:ascii="方正仿宋简体" w:hAnsi="方正仿宋简体" w:eastAsia="方正仿宋简体" w:cs="方正仿宋简体"/>
          <w:bCs/>
          <w:iCs/>
          <w:sz w:val="26"/>
          <w:szCs w:val="26"/>
        </w:rPr>
        <w:t xml:space="preserve"> 党政机关办公用房标准层每层建筑面积不应低于表7 的规定：</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7</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标准层建筑面积</w:t>
      </w:r>
    </w:p>
    <w:tbl>
      <w:tblPr>
        <w:tblStyle w:val="14"/>
        <w:tblW w:w="0" w:type="auto"/>
        <w:tblInd w:w="6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6"/>
        <w:gridCol w:w="4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00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分类</w:t>
            </w:r>
          </w:p>
        </w:tc>
        <w:tc>
          <w:tcPr>
            <w:tcW w:w="4473"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建筑面积（平方米）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00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四层及以下办公用房</w:t>
            </w:r>
          </w:p>
        </w:tc>
        <w:tc>
          <w:tcPr>
            <w:tcW w:w="4473"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00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五层及以上多层办公用房</w:t>
            </w:r>
          </w:p>
        </w:tc>
        <w:tc>
          <w:tcPr>
            <w:tcW w:w="4473"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00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高层办公用房</w:t>
            </w:r>
          </w:p>
        </w:tc>
        <w:tc>
          <w:tcPr>
            <w:tcW w:w="4473"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1200</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第二十九条</w:t>
      </w:r>
      <w:r>
        <w:rPr>
          <w:rFonts w:hint="eastAsia" w:ascii="方正仿宋简体" w:hAnsi="方正仿宋简体" w:eastAsia="方正仿宋简体" w:cs="方正仿宋简体"/>
          <w:bCs/>
          <w:iCs/>
          <w:sz w:val="26"/>
          <w:szCs w:val="26"/>
        </w:rPr>
        <w:t xml:space="preserve"> 党政机关办公用房入口门厅高度不应超过两层，门厅的使用面积不应超过表 8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8</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入口门厅的使用面积指标</w:t>
      </w:r>
    </w:p>
    <w:tbl>
      <w:tblPr>
        <w:tblStyle w:val="14"/>
        <w:tblW w:w="0" w:type="auto"/>
        <w:tblInd w:w="6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5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类别</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使用面积（平方米）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252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594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由省级人民政府按照中央规定和精神自行做出规定，原则上不得超过县级机关。</w:t>
            </w:r>
          </w:p>
        </w:tc>
      </w:tr>
    </w:tbl>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第三十条</w:t>
      </w:r>
      <w:r>
        <w:rPr>
          <w:rFonts w:hint="eastAsia" w:ascii="方正仿宋简体" w:hAnsi="方正仿宋简体" w:eastAsia="方正仿宋简体" w:cs="方正仿宋简体"/>
          <w:bCs/>
          <w:iCs/>
          <w:sz w:val="26"/>
          <w:szCs w:val="26"/>
        </w:rPr>
        <w:t xml:space="preserve"> 党政机关办公用房不得在办公区域内建设阶梯式和有舞台灯光音响、舞台机械、同声传译的会堂、报告厅、大型会议室。建筑物内不宜设置阳光房、采光中厅、室内花园、景观走廊等超出办公用房功能的其他空间或房间。</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第三十一条</w:t>
      </w:r>
      <w:r>
        <w:rPr>
          <w:rFonts w:hint="eastAsia" w:ascii="方正仿宋简体" w:hAnsi="方正仿宋简体" w:eastAsia="方正仿宋简体" w:cs="方正仿宋简体"/>
          <w:bCs/>
          <w:iCs/>
          <w:sz w:val="26"/>
          <w:szCs w:val="26"/>
        </w:rPr>
        <w:t xml:space="preserve"> 党政机关办公用房标准层的层高应根据办公室净高要求、结构形式及设施情况确定，不得超越净高规定或结构及设施的合理技术条件加大层高。办公室的净高应符合下列规定：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 有集中空调设施并有吊顶的标准单间办公室宜为 2.5～2.7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2、无集中空调设施的标准单间办公室宜为 2.6～2.8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3、有集中空调设施并有吊顶的大空间办公室宜为 2.6～2.8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4、无集中空调设施的大空间办公室宜为 2.8～3.0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第三十二条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党政机关办公用房标准层的走道净宽应符合下列规定：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1、走道长度≤40 米时，单面布房的走道净宽不宜小于 1.5 米且不宜大于 1.8 米，双面布房的走道净宽不宜小于 1.8 米且不宜大于 2.1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2、走道长度＞40 米时，单面布房的走道净宽不宜小于 1.5 米且不宜大于 2.1 米，双面布房的走道净宽不宜小于 1.8 米且不宜大于 2.5 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第三十三条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五层及五层以上的党政机关办公用房应设置乘客电梯，办公用房的办公区域不应设置自动扶梯。</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第三十四条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党政机关办公用房应满足国家有关无障碍规范的要求。</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第三十五条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党政机关办公用房的建设应满足功能需求，党政机关一般工作人员办公室宜采用大开间，提高办公室利用率。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第三十六条</w:t>
      </w:r>
      <w:r>
        <w:rPr>
          <w:rFonts w:hint="eastAsia" w:ascii="楷体" w:hAnsi="楷体" w:eastAsia="楷体" w:cs="楷体"/>
          <w:bCs/>
          <w:iCs/>
          <w:sz w:val="26"/>
          <w:szCs w:val="26"/>
        </w:rPr>
        <w:tab/>
      </w:r>
      <w:r>
        <w:rPr>
          <w:rFonts w:hint="eastAsia" w:ascii="方正仿宋简体" w:hAnsi="方正仿宋简体" w:eastAsia="方正仿宋简体" w:cs="方正仿宋简体"/>
          <w:bCs/>
          <w:iCs/>
          <w:sz w:val="26"/>
          <w:szCs w:val="26"/>
        </w:rPr>
        <w:t>党政机关办公用房建筑应符合国家有关建筑设计防火、抗震、节能规范等的规定，并确保建筑在设计使用年限期间能正常使用。</w:t>
      </w:r>
    </w:p>
    <w:p>
      <w:pPr>
        <w:tabs>
          <w:tab w:val="left" w:pos="0"/>
        </w:tabs>
        <w:spacing w:line="400" w:lineRule="exact"/>
        <w:ind w:firstLine="520" w:firstLineChars="200"/>
        <w:jc w:val="left"/>
        <w:rPr>
          <w:rFonts w:ascii="方正仿宋简体" w:hAnsi="方正仿宋简体" w:eastAsia="方正仿宋简体" w:cs="方正仿宋简体"/>
          <w:bCs/>
          <w:sz w:val="26"/>
          <w:szCs w:val="26"/>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第五章建筑装修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第三十七条</w:t>
      </w:r>
      <w:r>
        <w:rPr>
          <w:rFonts w:hint="eastAsia" w:ascii="方正仿宋简体" w:hAnsi="方正仿宋简体" w:eastAsia="方正仿宋简体" w:cs="方正仿宋简体"/>
          <w:bCs/>
          <w:iCs/>
          <w:sz w:val="26"/>
          <w:szCs w:val="26"/>
        </w:rPr>
        <w:t xml:space="preserve"> 党政机关办公用房装修设计应构造简洁、色彩适宜，营造庄重、实用、协调的装饰效果，因地制宜地选用节能环保装修材料或构配件。</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第三十八条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党政机关办公用房室内装修包括楼地面、墙面、柱面、天棚、内门窗、轻质隔墙、细部等，不包括活动家具、窗帘、饰物等。</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第三十九条</w:t>
      </w:r>
      <w:r>
        <w:rPr>
          <w:rFonts w:hint="eastAsia" w:ascii="楷体" w:hAnsi="楷体" w:eastAsia="楷体" w:cs="楷体"/>
          <w:bCs/>
          <w:iCs/>
          <w:sz w:val="26"/>
          <w:szCs w:val="26"/>
        </w:rPr>
        <w:tab/>
      </w:r>
      <w:r>
        <w:rPr>
          <w:rFonts w:hint="eastAsia" w:ascii="方正仿宋简体" w:hAnsi="方正仿宋简体" w:eastAsia="方正仿宋简体" w:cs="方正仿宋简体"/>
          <w:bCs/>
          <w:iCs/>
          <w:sz w:val="26"/>
          <w:szCs w:val="26"/>
        </w:rPr>
        <w:t>党政机关办公用房装修标准可分为基本装修、中级装修、中高级装修三类，并宜符合表 9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9装修标准</w:t>
      </w:r>
    </w:p>
    <w:tbl>
      <w:tblPr>
        <w:tblStyle w:val="14"/>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0"/>
        <w:gridCol w:w="76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分类</w:t>
            </w:r>
          </w:p>
        </w:tc>
        <w:tc>
          <w:tcPr>
            <w:tcW w:w="761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装修要求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14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基本装修</w:t>
            </w:r>
          </w:p>
        </w:tc>
        <w:tc>
          <w:tcPr>
            <w:tcW w:w="761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选用建筑所在地区经济型普通装修材料或构配件。</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楼地面可选用普通 PVC 地材、地砖、水泥砂浆等；墙、柱面选用普通涂料；天棚刷普通涂料或普通饰面板吊顶；门采用普通复合木门。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1" w:hRule="atLeast"/>
        </w:trPr>
        <w:tc>
          <w:tcPr>
            <w:tcW w:w="14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中级装修</w:t>
            </w:r>
          </w:p>
        </w:tc>
        <w:tc>
          <w:tcPr>
            <w:tcW w:w="761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选用建筑所在地区中等价位的装修材料或构配件。</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楼地面可选用中档复合木地板、PVC 地材、石材、地砖等；墙、柱面可选用中档饰面板、涂料或壁纸；天棚可做中档饰面板吊顶；门采用中档复合木门或玻璃门。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44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中高级装修</w:t>
            </w:r>
          </w:p>
        </w:tc>
        <w:tc>
          <w:tcPr>
            <w:tcW w:w="7616"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选用建筑所在地区中等价位、局部选用中高价位的装修材料或构配件。楼地面可选用中高档石材、木材、普通化纤地毯；墙、柱面可选用中档饰面板或涂料；天棚可做中高档饰面板吊顶；门采用中高档复合木门或玻璃门。</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注：同等档次室内装修材料，提倡采用新型环保节能材料。</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党政机关办公用房建筑装修应符合表 10 的规定。</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10</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装修选用标准</w:t>
      </w:r>
    </w:p>
    <w:tbl>
      <w:tblPr>
        <w:tblStyle w:val="14"/>
        <w:tblW w:w="9093"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2339"/>
        <w:gridCol w:w="2339"/>
        <w:gridCol w:w="1205"/>
        <w:gridCol w:w="1456"/>
        <w:gridCol w:w="1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833"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房间或部位</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类别</w:t>
            </w:r>
          </w:p>
        </w:tc>
        <w:tc>
          <w:tcPr>
            <w:tcW w:w="2339" w:type="dxa"/>
            <w:tcBorders>
              <w:right w:val="single" w:color="000000" w:sz="4" w:space="0"/>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中央机关、省级机关</w:t>
            </w:r>
          </w:p>
        </w:tc>
        <w:tc>
          <w:tcPr>
            <w:tcW w:w="1205" w:type="dxa"/>
            <w:tcBorders>
              <w:top w:val="single" w:color="000000" w:sz="4" w:space="0"/>
              <w:left w:val="single" w:color="000000" w:sz="4" w:space="0"/>
              <w:right w:val="single" w:color="000000" w:sz="4" w:space="0"/>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1456" w:type="dxa"/>
            <w:tcBorders>
              <w:top w:val="single" w:color="000000" w:sz="4" w:space="0"/>
              <w:left w:val="single" w:color="000000" w:sz="4" w:space="0"/>
              <w:right w:val="single" w:color="000000" w:sz="4" w:space="0"/>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1260" w:type="dxa"/>
            <w:tcBorders>
              <w:top w:val="single" w:color="000000" w:sz="4" w:space="0"/>
              <w:left w:val="single" w:color="000000" w:sz="4" w:space="0"/>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94"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办公室</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一般工作人员</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办公室</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494"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领导人员办公室</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中高级</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中级或基本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94"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服务用房</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会议室、接待室</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中高级或中级</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中级或基本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494"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其他用房</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2832"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设备用房</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2832"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附属用房</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832"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主入口门厅及电梯厅</w:t>
            </w:r>
          </w:p>
        </w:tc>
        <w:tc>
          <w:tcPr>
            <w:tcW w:w="2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中高级</w:t>
            </w:r>
          </w:p>
        </w:tc>
        <w:tc>
          <w:tcPr>
            <w:tcW w:w="1204"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w:t>
            </w:r>
          </w:p>
        </w:tc>
        <w:tc>
          <w:tcPr>
            <w:tcW w:w="145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中级或基本</w:t>
            </w:r>
          </w:p>
        </w:tc>
        <w:tc>
          <w:tcPr>
            <w:tcW w:w="125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基本</w:t>
            </w:r>
          </w:p>
        </w:tc>
      </w:tr>
    </w:tbl>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第四十一条</w:t>
      </w:r>
      <w:r>
        <w:rPr>
          <w:rFonts w:hint="eastAsia" w:ascii="方正仿宋简体" w:hAnsi="方正仿宋简体" w:eastAsia="方正仿宋简体" w:cs="方正仿宋简体"/>
          <w:bCs/>
          <w:iCs/>
          <w:sz w:val="26"/>
          <w:szCs w:val="26"/>
        </w:rPr>
        <w:t xml:space="preserve"> 党政机关办公用房的办公室及办公区走廊等应采用普通灯具和高效节能型光源，会议室、接待室及主入口门厅可采用装饰性灯具，配用高效节能型光源，但不应选用豪华灯具。</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第四十二条</w:t>
      </w:r>
      <w:r>
        <w:rPr>
          <w:rFonts w:hint="eastAsia" w:ascii="方正仿宋简体" w:hAnsi="方正仿宋简体" w:eastAsia="方正仿宋简体" w:cs="方正仿宋简体"/>
          <w:bCs/>
          <w:iCs/>
          <w:sz w:val="26"/>
          <w:szCs w:val="26"/>
        </w:rPr>
        <w:t>采暖地区一般工作人员办公室不应做装饰性暖气罩。</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第四十三条</w:t>
      </w:r>
      <w:r>
        <w:rPr>
          <w:rFonts w:hint="eastAsia" w:ascii="方正仿宋简体" w:hAnsi="方正仿宋简体" w:eastAsia="方正仿宋简体" w:cs="方正仿宋简体"/>
          <w:bCs/>
          <w:iCs/>
          <w:sz w:val="26"/>
          <w:szCs w:val="26"/>
        </w:rPr>
        <w:t xml:space="preserve"> 党政机关办公用房室外装修包括墙面、柱面、外门窗、门头、台阶、坡道等。</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第四十四条 </w:t>
      </w:r>
      <w:r>
        <w:rPr>
          <w:rFonts w:hint="eastAsia" w:ascii="方正仿宋简体" w:hAnsi="方正仿宋简体" w:eastAsia="方正仿宋简体" w:cs="方正仿宋简体"/>
          <w:bCs/>
          <w:iCs/>
          <w:sz w:val="26"/>
          <w:szCs w:val="26"/>
        </w:rPr>
        <w:t>党政机关办公用房室外装修设计，应综合考虑所在地区传统文化特色、经济状况、城镇景观及周边建筑风貌，做到实用、协调、庄重。外墙面不宜大面积采用玻璃幕墙，主入口不应使用铜质门、豪华旋转门。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第四十五条</w:t>
      </w:r>
      <w:r>
        <w:rPr>
          <w:rFonts w:hint="eastAsia" w:ascii="方正仿宋简体" w:hAnsi="方正仿宋简体" w:eastAsia="方正仿宋简体" w:cs="方正仿宋简体"/>
          <w:bCs/>
          <w:iCs/>
          <w:sz w:val="26"/>
          <w:szCs w:val="26"/>
        </w:rPr>
        <w:t xml:space="preserve"> 党政机关办公用房装修工程造价包括：室内装修工程、室外装修工程造价。装修工程造价占建筑安装工程费用的比例，不宜超过表 11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11</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装修工程造价占建筑安装工程费用的比例</w:t>
      </w:r>
    </w:p>
    <w:tbl>
      <w:tblPr>
        <w:tblStyle w:val="14"/>
        <w:tblW w:w="8838"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0"/>
        <w:gridCol w:w="5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类别</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比例（</w:t>
            </w:r>
            <w:r>
              <w:rPr>
                <w:rFonts w:hint="eastAsia" w:ascii="方正仿宋简体" w:hAnsi="方正仿宋简体" w:eastAsia="方正仿宋简体" w:cs="方正仿宋简体"/>
                <w:bCs/>
                <w:iCs/>
                <w:sz w:val="26"/>
                <w:szCs w:val="26"/>
              </w:rPr>
              <w:drawing>
                <wp:inline distT="0" distB="0" distL="114300" distR="114300">
                  <wp:extent cx="66675" cy="117475"/>
                  <wp:effectExtent l="0" t="0" r="9525" b="158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6" cstate="print"/>
                          <a:stretch>
                            <a:fillRect/>
                          </a:stretch>
                        </pic:blipFill>
                        <pic:spPr>
                          <a:xfrm>
                            <a:off x="0" y="0"/>
                            <a:ext cx="66675" cy="117475"/>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060"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c>
          <w:tcPr>
            <w:tcW w:w="5778" w:type="dxa"/>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25</w:t>
            </w:r>
          </w:p>
        </w:tc>
      </w:tr>
    </w:tbl>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第六章室内环境与建筑设备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第四十六条</w:t>
      </w:r>
      <w:r>
        <w:rPr>
          <w:rFonts w:hint="eastAsia" w:ascii="方正仿宋简体" w:hAnsi="方正仿宋简体" w:eastAsia="方正仿宋简体" w:cs="方正仿宋简体"/>
          <w:bCs/>
          <w:iCs/>
          <w:sz w:val="26"/>
          <w:szCs w:val="26"/>
        </w:rPr>
        <w:t xml:space="preserve"> 党政机关办公用房室内环境应符合公共建筑节能设计标准的规定。其中，办公室冬季采暖设定温度不应高于 20℃，夏季制冷设定温度不应低于 26℃。</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第四十七条</w:t>
      </w:r>
      <w:r>
        <w:rPr>
          <w:rFonts w:hint="eastAsia" w:ascii="方正仿宋简体" w:hAnsi="方正仿宋简体" w:eastAsia="方正仿宋简体" w:cs="方正仿宋简体"/>
          <w:bCs/>
          <w:iCs/>
          <w:sz w:val="26"/>
          <w:szCs w:val="26"/>
        </w:rPr>
        <w:t xml:space="preserve"> 党政机关办公用房的一个主立面朝向外窗的窗墙比不应大于 0.6，其余朝向外窗的窗墙比不应大于 0.4，并满足自然采光的要求。</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第四十八条</w:t>
      </w:r>
      <w:r>
        <w:rPr>
          <w:rFonts w:hint="eastAsia" w:ascii="方正仿宋简体" w:hAnsi="方正仿宋简体" w:eastAsia="方正仿宋简体" w:cs="方正仿宋简体"/>
          <w:bCs/>
          <w:iCs/>
          <w:sz w:val="26"/>
          <w:szCs w:val="26"/>
        </w:rPr>
        <w:t xml:space="preserve"> 采用集中采暖、空调系统的办公用房，应设置分楼层或分室内区域或分用户的室温可调控装置，并按使用部门或耗能部门设置热、冷量分摊计量装置。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第四十九条</w:t>
      </w:r>
      <w:r>
        <w:rPr>
          <w:rFonts w:hint="eastAsia" w:ascii="方正仿宋简体" w:hAnsi="方正仿宋简体" w:eastAsia="方正仿宋简体" w:cs="方正仿宋简体"/>
          <w:bCs/>
          <w:iCs/>
          <w:sz w:val="26"/>
          <w:szCs w:val="26"/>
        </w:rPr>
        <w:t xml:space="preserve"> 党政机关办公用房的给水系统应充分利用城镇给水管网直接供水，其供水设备宜采用管网叠压供水设备。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第五十条</w:t>
      </w:r>
      <w:r>
        <w:rPr>
          <w:rFonts w:hint="eastAsia" w:ascii="方正仿宋简体" w:hAnsi="方正仿宋简体" w:eastAsia="方正仿宋简体" w:cs="方正仿宋简体"/>
          <w:bCs/>
          <w:iCs/>
          <w:sz w:val="26"/>
          <w:szCs w:val="26"/>
        </w:rPr>
        <w:t xml:space="preserve"> 党政机关办公用房不得采用冲洗水量大于 9 升的便器及水箱，洗手（脸）盆宜采用感应式水嘴、延时自闭水嘴，便器采用感应式或延时自闭冲洗阀。卫生器具和配件均应采用节水型产品。</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第五十一条</w:t>
      </w:r>
      <w:r>
        <w:rPr>
          <w:rFonts w:hint="eastAsia" w:ascii="方正仿宋简体" w:hAnsi="方正仿宋简体" w:eastAsia="方正仿宋简体" w:cs="方正仿宋简体"/>
          <w:bCs/>
          <w:iCs/>
          <w:sz w:val="26"/>
          <w:szCs w:val="26"/>
        </w:rPr>
        <w:t>各类用房或部位的照度标准值应符合表 12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12</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照度标准值</w:t>
      </w:r>
    </w:p>
    <w:tbl>
      <w:tblPr>
        <w:tblStyle w:val="14"/>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0"/>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46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房间或部位</w:t>
            </w:r>
          </w:p>
        </w:tc>
        <w:tc>
          <w:tcPr>
            <w:tcW w:w="39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照度标准值（lx）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6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办公室、会议室、接待室、文印室、门厅等</w:t>
            </w:r>
          </w:p>
        </w:tc>
        <w:tc>
          <w:tcPr>
            <w:tcW w:w="39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68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档案室、资料室等</w:t>
            </w:r>
          </w:p>
        </w:tc>
        <w:tc>
          <w:tcPr>
            <w:tcW w:w="396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200</w:t>
            </w:r>
          </w:p>
        </w:tc>
      </w:tr>
    </w:tbl>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第五十二条</w:t>
      </w:r>
      <w:r>
        <w:rPr>
          <w:rFonts w:hint="eastAsia" w:ascii="方正仿宋简体" w:hAnsi="方正仿宋简体" w:eastAsia="方正仿宋简体" w:cs="方正仿宋简体"/>
          <w:bCs/>
          <w:iCs/>
          <w:sz w:val="26"/>
          <w:szCs w:val="26"/>
        </w:rPr>
        <w:t xml:space="preserve"> 走廊、楼梯间、门厅等公共场所的照明，宜采用集中控制，并按建筑使用条件和天然采光状况采取分区、分组控制措施。</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 智能化系统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第五十三条 </w:t>
      </w:r>
      <w:r>
        <w:rPr>
          <w:rFonts w:hint="eastAsia" w:ascii="方正仿宋简体" w:hAnsi="方正仿宋简体" w:eastAsia="方正仿宋简体" w:cs="方正仿宋简体"/>
          <w:bCs/>
          <w:iCs/>
          <w:sz w:val="26"/>
          <w:szCs w:val="26"/>
        </w:rPr>
        <w:t>党政机关办公用房智能化系统宜由智能化集成系统、信息设施系统、信息化应用系统、公共安全系统、建筑设备管理系统等构成，党政机关可根据各自需要和实际情况配置相应的办公用房智能化系统。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第五十四条</w:t>
      </w:r>
      <w:r>
        <w:rPr>
          <w:rFonts w:hint="eastAsia" w:ascii="方正仿宋简体" w:hAnsi="方正仿宋简体" w:eastAsia="方正仿宋简体" w:cs="方正仿宋简体"/>
          <w:bCs/>
          <w:iCs/>
          <w:sz w:val="26"/>
          <w:szCs w:val="26"/>
        </w:rPr>
        <w:t xml:space="preserve"> 中央机关、省级机关、市级机关办公用房宜设置智能化集成系统。智能化集成系统建设应根据办公用房规模、办公业务的综合性以及建筑设备的控制要求综合考虑确定。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第五十五条</w:t>
      </w:r>
      <w:r>
        <w:rPr>
          <w:rFonts w:hint="eastAsia" w:ascii="方正仿宋简体" w:hAnsi="方正仿宋简体" w:eastAsia="方正仿宋简体" w:cs="方正仿宋简体"/>
          <w:bCs/>
          <w:iCs/>
          <w:sz w:val="26"/>
          <w:szCs w:val="26"/>
        </w:rPr>
        <w:t xml:space="preserve"> 党政机关办公用房信息设施系统宜包括用户电话交换系统、信息网络系统、综合布线系统、有线电视系统、广播系统、会议系统等。系统配置标准宜符合表 13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13</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信息设施系统配置标准</w:t>
      </w:r>
    </w:p>
    <w:tbl>
      <w:tblPr>
        <w:tblStyle w:val="14"/>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96"/>
        <w:gridCol w:w="1485"/>
        <w:gridCol w:w="1441"/>
        <w:gridCol w:w="1261"/>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信息设施系统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省级机关</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用户电话交换系统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信息网络系统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综合布线系统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有线电视系统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广播系统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196"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会议系统</w:t>
            </w:r>
          </w:p>
        </w:tc>
        <w:tc>
          <w:tcPr>
            <w:tcW w:w="148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4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261"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 表示可配置；</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○表示不宜配置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第五十六条</w:t>
      </w:r>
      <w:r>
        <w:rPr>
          <w:rFonts w:hint="eastAsia" w:ascii="方正仿宋简体" w:hAnsi="方正仿宋简体" w:eastAsia="方正仿宋简体" w:cs="方正仿宋简体"/>
          <w:bCs/>
          <w:iCs/>
          <w:sz w:val="26"/>
          <w:szCs w:val="26"/>
        </w:rPr>
        <w:t xml:space="preserve"> 党政机关办公用房信息化应用系统宜包括办公业务系统、物业运营管理系统、智能卡应用系统、信息安全管理系统等。系统配置标准宜符合表 14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14 信息化应用系统配置标准</w:t>
      </w:r>
    </w:p>
    <w:tbl>
      <w:tblPr>
        <w:tblStyle w:val="14"/>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0"/>
        <w:gridCol w:w="1338"/>
        <w:gridCol w:w="1339"/>
        <w:gridCol w:w="1339"/>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315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信息化应用系统</w:t>
            </w:r>
          </w:p>
        </w:tc>
        <w:tc>
          <w:tcPr>
            <w:tcW w:w="1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中央机关、省级机关</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1473"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15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办公业务系统</w:t>
            </w:r>
          </w:p>
        </w:tc>
        <w:tc>
          <w:tcPr>
            <w:tcW w:w="1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73"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15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物业运营管理系统</w:t>
            </w:r>
          </w:p>
        </w:tc>
        <w:tc>
          <w:tcPr>
            <w:tcW w:w="1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73"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15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智能卡应用系统</w:t>
            </w:r>
          </w:p>
        </w:tc>
        <w:tc>
          <w:tcPr>
            <w:tcW w:w="1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73"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315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信息安全管理系统</w:t>
            </w:r>
          </w:p>
        </w:tc>
        <w:tc>
          <w:tcPr>
            <w:tcW w:w="1338"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473"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 表示可配置；</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○表示不宜配置</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第五十七条</w:t>
      </w:r>
      <w:r>
        <w:rPr>
          <w:rFonts w:hint="eastAsia" w:ascii="方正仿宋简体" w:hAnsi="方正仿宋简体" w:eastAsia="方正仿宋简体" w:cs="方正仿宋简体"/>
          <w:bCs/>
          <w:iCs/>
          <w:sz w:val="26"/>
          <w:szCs w:val="26"/>
        </w:rPr>
        <w:t xml:space="preserve"> 党政机关办公用房公共安全系统宜包括火灾自动报警系统、安全技术防范系统及与政府职能相关的应急响应系统等。办公用房内（或部分区域）对安全技术防范具有其他特殊要求的范围，应实施符合特殊安全技术防范管理规定所要求的安全技术措施。系统配置标准宜符合表 15 的规定。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表 15</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公共安全系统配置标准</w:t>
      </w:r>
    </w:p>
    <w:tbl>
      <w:tblPr>
        <w:tblStyle w:val="14"/>
        <w:tblW w:w="8468"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2435"/>
        <w:gridCol w:w="1462"/>
        <w:gridCol w:w="1072"/>
        <w:gridCol w:w="1330"/>
        <w:gridCol w:w="1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3275"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公共安全系统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中央机关、省级机关</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市级机关</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县级机关</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乡级机关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275"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火灾自动报警系统</w:t>
            </w:r>
          </w:p>
        </w:tc>
        <w:tc>
          <w:tcPr>
            <w:tcW w:w="5193" w:type="dxa"/>
            <w:gridSpan w:val="4"/>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按国家现行有关标准进行配置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840" w:type="dxa"/>
            <w:vMerge w:val="restart"/>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安 全 技术防范系统</w:t>
            </w:r>
          </w:p>
        </w:tc>
        <w:tc>
          <w:tcPr>
            <w:tcW w:w="243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安全防范综合管理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系统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84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43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入侵（周界）报警系</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4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43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视频安防监控系统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4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43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出入口控制系统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40" w:type="dxa"/>
            <w:vMerge w:val="continue"/>
            <w:tcBorders>
              <w:top w:val="nil"/>
            </w:tcBorders>
            <w:vAlign w:val="center"/>
          </w:tcPr>
          <w:p>
            <w:pPr>
              <w:spacing w:line="400" w:lineRule="exact"/>
              <w:ind w:firstLine="520" w:firstLineChars="200"/>
              <w:jc w:val="left"/>
              <w:rPr>
                <w:rFonts w:ascii="方正仿宋简体" w:hAnsi="方正仿宋简体" w:eastAsia="方正仿宋简体" w:cs="方正仿宋简体"/>
                <w:bCs/>
                <w:iCs/>
                <w:sz w:val="26"/>
                <w:szCs w:val="26"/>
              </w:rPr>
            </w:pPr>
          </w:p>
        </w:tc>
        <w:tc>
          <w:tcPr>
            <w:tcW w:w="2435"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电子巡查管理系统</w:t>
            </w:r>
          </w:p>
        </w:tc>
        <w:tc>
          <w:tcPr>
            <w:tcW w:w="146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072"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30"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c>
          <w:tcPr>
            <w:tcW w:w="1329" w:type="dxa"/>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275" w:type="dxa"/>
            <w:gridSpan w:val="2"/>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应急响应系统</w:t>
            </w:r>
          </w:p>
        </w:tc>
        <w:tc>
          <w:tcPr>
            <w:tcW w:w="5193" w:type="dxa"/>
            <w:gridSpan w:val="4"/>
            <w:vAlign w:val="center"/>
          </w:tcPr>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应纳入国家各级行政区域应急体系</w:t>
            </w:r>
          </w:p>
        </w:tc>
      </w:tr>
    </w:tbl>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注：</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 表示可配置；</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○表示不宜配置</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第五十八条</w:t>
      </w:r>
      <w:r>
        <w:rPr>
          <w:rFonts w:hint="eastAsia" w:ascii="方正仿宋简体" w:hAnsi="方正仿宋简体" w:eastAsia="方正仿宋简体" w:cs="方正仿宋简体"/>
          <w:bCs/>
          <w:iCs/>
          <w:sz w:val="26"/>
          <w:szCs w:val="26"/>
        </w:rPr>
        <w:t xml:space="preserve"> 党政机关办公用房综合布线系统建设，应根据各类机关办公工作业务和办公人员的岗位职能，配置相应的数据信息端口和电话通信端口。</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 附则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第五十九条 </w:t>
      </w:r>
      <w:r>
        <w:rPr>
          <w:rFonts w:hint="eastAsia" w:ascii="方正仿宋简体" w:hAnsi="方正仿宋简体" w:eastAsia="方正仿宋简体" w:cs="方正仿宋简体"/>
          <w:bCs/>
          <w:iCs/>
          <w:sz w:val="26"/>
          <w:szCs w:val="26"/>
        </w:rPr>
        <w:t>本建设标准由国家发展和改革委员会、住房和城乡建设部负责解释。</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第六十条</w:t>
      </w:r>
      <w:r>
        <w:rPr>
          <w:rFonts w:hint="eastAsia" w:ascii="方正仿宋简体" w:hAnsi="方正仿宋简体" w:eastAsia="方正仿宋简体" w:cs="方正仿宋简体"/>
          <w:bCs/>
          <w:iCs/>
          <w:sz w:val="26"/>
          <w:szCs w:val="26"/>
        </w:rPr>
        <w:t xml:space="preserve"> 本建设标准自发布之日起施行，《国家计委关于印发党政机关办公用房建设标准的通知》（计投资〔1999〕2250 号） 同时停止执行。</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本建设标准用词和用语说明</w:t>
      </w:r>
    </w:p>
    <w:p>
      <w:pPr>
        <w:spacing w:line="400" w:lineRule="exact"/>
        <w:ind w:firstLine="520" w:firstLineChars="200"/>
        <w:jc w:val="left"/>
        <w:rPr>
          <w:rFonts w:ascii="方正仿宋简体" w:hAnsi="方正仿宋简体" w:eastAsia="方正仿宋简体" w:cs="方正仿宋简体"/>
          <w:bCs/>
          <w:iCs/>
          <w:sz w:val="26"/>
          <w:szCs w:val="26"/>
        </w:rPr>
      </w:pP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1、为便于在执行本建设标准条文时区别对待，对要求严格程度不同的用词说明如下：</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1)表示很严格，非这样做不可的用词：正面词采用“必须”，反面词采用“严禁”。2)表示严格，在正常情况下均应这样做的用词：正面词采用“应”，反面词采用“不应”或“不得”。3)表示允许稍有选择，在条件许可时首先应这样做的用词： 正面词采用“宜”，反面词采用“不宜”； 4)表示有选择，在一定条件下可以这样做的，采用“可”。</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2、本建设标准中指明应按其他有关标准、规范执行的写法为“应按……执行”或“应符合……的要求（或规定）”。</w:t>
      </w:r>
    </w:p>
    <w:p>
      <w:pPr>
        <w:tabs>
          <w:tab w:val="left" w:pos="0"/>
        </w:tabs>
        <w:spacing w:line="400" w:lineRule="exact"/>
        <w:ind w:firstLine="520" w:firstLineChars="200"/>
        <w:jc w:val="center"/>
        <w:rPr>
          <w:rFonts w:ascii="方正小标宋简体" w:hAnsi="方正仿宋简体" w:eastAsia="方正小标宋简体" w:cs="方正仿宋简体"/>
          <w:bCs/>
          <w:sz w:val="32"/>
          <w:szCs w:val="32"/>
        </w:rPr>
      </w:pPr>
      <w:r>
        <w:rPr>
          <w:rFonts w:hint="eastAsia" w:ascii="方正仿宋简体" w:hAnsi="方正仿宋简体" w:eastAsia="方正仿宋简体" w:cs="方正仿宋简体"/>
          <w:b/>
          <w:bCs/>
          <w:iCs/>
          <w:sz w:val="26"/>
          <w:szCs w:val="26"/>
        </w:rPr>
        <w:br w:type="page"/>
      </w:r>
      <w:r>
        <w:rPr>
          <w:rFonts w:hint="eastAsia" w:ascii="方正小标宋简体" w:hAnsi="方正仿宋简体" w:eastAsia="方正小标宋简体" w:cs="方正仿宋简体"/>
          <w:bCs/>
          <w:sz w:val="32"/>
          <w:szCs w:val="32"/>
        </w:rPr>
        <w:t>党政机关办公用房建设标准条文说明</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第一条</w:t>
      </w:r>
      <w:r>
        <w:rPr>
          <w:rFonts w:hint="eastAsia" w:ascii="方正仿宋简体" w:hAnsi="方正仿宋简体" w:eastAsia="方正仿宋简体" w:cs="方正仿宋简体"/>
          <w:bCs/>
          <w:iCs/>
          <w:sz w:val="26"/>
          <w:szCs w:val="26"/>
        </w:rPr>
        <w:t xml:space="preserve"> 原国家计委1999年颁布《党政机关办公用房建设标准》（计投资〔1999〕2250号，以下简称1999年标准）之后，随着我国经济社会发展，办公用房的功能与过去相比有较大的变化。为贯彻落实《党政机关厉行节约反对浪费条例》，规范党政机关办公用房建设内容、规模和标准，满足办公使用功能和建筑安全、资源节约的要求，加强管理和监督，需要制定既符合我国现实情况又适当考虑发展需要的党政机关办公用房建设标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第二条 </w:t>
      </w:r>
      <w:r>
        <w:rPr>
          <w:rFonts w:hint="eastAsia" w:ascii="方正仿宋简体" w:hAnsi="方正仿宋简体" w:eastAsia="方正仿宋简体" w:cs="方正仿宋简体"/>
          <w:bCs/>
          <w:iCs/>
          <w:sz w:val="26"/>
          <w:szCs w:val="26"/>
        </w:rPr>
        <w:t>本建设标准是加强党政机关办公用房建设管理和合理确定各级党政机关办公用房建设水平的全国统一标准，具有强制性、规范性，目的是使党政机关办公用房项目的前期工作和建设实施有章可循，监督检查有规可依。</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第三条 </w:t>
      </w:r>
      <w:r>
        <w:rPr>
          <w:rFonts w:hint="eastAsia" w:ascii="方正仿宋简体" w:hAnsi="方正仿宋简体" w:eastAsia="方正仿宋简体" w:cs="方正仿宋简体"/>
          <w:bCs/>
          <w:iCs/>
          <w:sz w:val="26"/>
          <w:szCs w:val="26"/>
        </w:rPr>
        <w:t>本建设标准所称党政机关办公用房的概念是根据中共中央办公厅、国务院办公厅关于严格控制党政机关办公楼等楼堂馆所建设的有关精神确定的。民主党派机关办公用房建设参照本标准执行。</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第四条 </w:t>
      </w:r>
      <w:r>
        <w:rPr>
          <w:rFonts w:hint="eastAsia" w:ascii="方正仿宋简体" w:hAnsi="方正仿宋简体" w:eastAsia="方正仿宋简体" w:cs="方正仿宋简体"/>
          <w:bCs/>
          <w:iCs/>
          <w:sz w:val="26"/>
          <w:szCs w:val="26"/>
        </w:rPr>
        <w:t>党政机关办公用房的建设应遵循统筹兼顾、适用为主、满足办公需要的原则，这是基于我国国情和各地区财力的实际差异考虑的。从节约投资、资源共享角度考虑，应充分利用公共服务和附属设施，打破系统、部门之间的界限，实行统一规划、集中管理、共同使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第五条 </w:t>
      </w:r>
      <w:r>
        <w:rPr>
          <w:rFonts w:hint="eastAsia" w:ascii="方正仿宋简体" w:hAnsi="方正仿宋简体" w:eastAsia="方正仿宋简体" w:cs="方正仿宋简体"/>
          <w:bCs/>
          <w:iCs/>
          <w:sz w:val="26"/>
          <w:szCs w:val="26"/>
        </w:rPr>
        <w:t>本条明确了党政机关办公用房建设应遵守的土地使用基本原则。我国是人口众多、土地资源短缺的国家，可利用的土地资源十分有限，因此，党政机关办公用房建设必须执行国家有关土地政策，在城乡规划确定的建设用地上建设办公用房，并且合理组织各项功能，提高土地利用效率，节约用地。调研中我们了解到， 部分城市的党政机关办公用房配套建设了大型广场、公园等，造成土地资源浪费，群众对此反映强烈，因此条文规定，不得配套建设大型广场、公园等设施。</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第六条 </w:t>
      </w:r>
      <w:r>
        <w:rPr>
          <w:rFonts w:hint="eastAsia" w:ascii="方正仿宋简体" w:hAnsi="方正仿宋简体" w:eastAsia="方正仿宋简体" w:cs="方正仿宋简体"/>
          <w:bCs/>
          <w:iCs/>
          <w:sz w:val="26"/>
          <w:szCs w:val="26"/>
        </w:rPr>
        <w:t>根据党政机关办公用房的使用功能，考虑我国的现实情况，党政机关办公用房应以适用为主，符合党政机关的定位，符合办公实际要求。考虑到个别地区党政机关办公用房存在贪大求洋的情况，条文规定党政机关办公用房不得作为城市标志性建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第七条 </w:t>
      </w:r>
      <w:r>
        <w:rPr>
          <w:rFonts w:hint="eastAsia" w:ascii="方正仿宋简体" w:hAnsi="方正仿宋简体" w:eastAsia="方正仿宋简体" w:cs="方正仿宋简体"/>
          <w:bCs/>
          <w:iCs/>
          <w:sz w:val="26"/>
          <w:szCs w:val="26"/>
        </w:rPr>
        <w:t>办公用房的建设规模要按使用单位的类别和各级别编制定员，依据本建设标准规定的各级工作人员办公室使用面积、服务用房人均使用面积、设备用房使用面积、使用面积系数和附属用房建筑面积等指标计算确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第八条</w:t>
      </w:r>
      <w:r>
        <w:rPr>
          <w:rFonts w:hint="eastAsia" w:ascii="方正仿宋简体" w:hAnsi="方正仿宋简体" w:eastAsia="方正仿宋简体" w:cs="方正仿宋简体"/>
          <w:bCs/>
          <w:iCs/>
          <w:sz w:val="26"/>
          <w:szCs w:val="26"/>
        </w:rPr>
        <w:t xml:space="preserve"> 党政机关办公用房的建设除执行本建设标准外，还应执行其他有关标准、规范的要求。</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第二章建筑分类与面积指标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第九条 </w:t>
      </w:r>
      <w:r>
        <w:rPr>
          <w:rFonts w:hint="eastAsia" w:ascii="方正仿宋简体" w:hAnsi="方正仿宋简体" w:eastAsia="方正仿宋简体" w:cs="方正仿宋简体"/>
          <w:bCs/>
          <w:iCs/>
          <w:sz w:val="26"/>
          <w:szCs w:val="26"/>
        </w:rPr>
        <w:t>党政机关办公用房的建筑分类。1999 年标准将党政机关办公用房分为三级，一级办公用房适用于中央部（委）级机关、省级机关以及相当于该级别的其他机关，二级办公用房适用于市级机关以及相当于该级别的其他机关，三级办公用房适用于县级机关以及相当于该级别的其他机关，并按级别给出了人均建筑面积指标。本建设标准改为五类，增加了 1999 年标准未包括的乡（镇、苏木）级，并弱化了办公用房的等级概念，直接以中央机关、省级机关、市级机关、县级机关、乡级机关进行划分。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第十条 </w:t>
      </w:r>
      <w:r>
        <w:rPr>
          <w:rFonts w:hint="eastAsia" w:ascii="方正仿宋简体" w:hAnsi="方正仿宋简体" w:eastAsia="方正仿宋简体" w:cs="方正仿宋简体"/>
          <w:bCs/>
          <w:iCs/>
          <w:sz w:val="26"/>
          <w:szCs w:val="26"/>
        </w:rPr>
        <w:t>党政机关办公用房功能分类。根据使用功能，办公用房一般划分为基本办公用房（办公室、服务用房、设备用房）、附属用房两类。</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第十一条 </w:t>
      </w:r>
      <w:r>
        <w:rPr>
          <w:rFonts w:hint="eastAsia" w:ascii="方正仿宋简体" w:hAnsi="方正仿宋简体" w:eastAsia="方正仿宋简体" w:cs="方正仿宋简体"/>
          <w:bCs/>
          <w:iCs/>
          <w:sz w:val="26"/>
          <w:szCs w:val="26"/>
        </w:rPr>
        <w:t>各级工作人员办公室使用面积指标。具体指标是在1999 年标准的基础上结合调研情况，并按照《关于党政机关停止新建楼堂馆所和清理办公用房的通知》（中办发〔2013〕17 号）等文件精神，本着实事求是、从严控制、向基层和普通机关工作人员倾斜的原则综合确定的。表 3 中使用面积 18 平方米及以上的，是按设置单间考虑的。同时，考虑到乡级机关办公用房实际情况各地差异很大，比较复杂，本条规定的乡级机关各级工作人员办公室使用面积、第十二条规定的乡级机关服务用房人均使用面积、第二十三条规定的乡级机关建筑容积率指标、第二十九条规定的乡级机关入口门厅使用面积指标，由省级人民政府按照中央规定和精神自行做出规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关于注 1 中的“依次类推”，举例如下：某副省级城市所辖某区政府（副市级机关），其正职办公室面积指标适用地市级机关市级副职，其副职办公室面积指标不超过地市级机关市级副职。某副省级城市政府组成部门（副厅级单位），其正职办公室面积指标不超过省级机关正厅级，其副职办公室面积指标不超过省级机关副厅级。</w:t>
      </w:r>
    </w:p>
    <w:p>
      <w:pPr>
        <w:spacing w:line="400" w:lineRule="exact"/>
        <w:ind w:firstLine="520" w:firstLineChars="200"/>
        <w:jc w:val="left"/>
        <w:rPr>
          <w:rFonts w:ascii="楷体" w:hAnsi="楷体" w:eastAsia="楷体" w:cs="楷体"/>
          <w:bCs/>
          <w:iCs/>
          <w:sz w:val="26"/>
          <w:szCs w:val="26"/>
        </w:rPr>
      </w:pPr>
      <w:r>
        <w:rPr>
          <w:rFonts w:hint="eastAsia" w:ascii="楷体" w:hAnsi="楷体" w:eastAsia="楷体" w:cs="楷体"/>
          <w:bCs/>
          <w:iCs/>
          <w:sz w:val="26"/>
          <w:szCs w:val="26"/>
        </w:rPr>
        <w:t xml:space="preserve">第十二条 </w:t>
      </w:r>
      <w:r>
        <w:rPr>
          <w:rFonts w:hint="eastAsia" w:ascii="方正仿宋简体" w:hAnsi="方正仿宋简体" w:eastAsia="方正仿宋简体" w:cs="方正仿宋简体"/>
          <w:bCs/>
          <w:iCs/>
          <w:sz w:val="26"/>
          <w:szCs w:val="26"/>
        </w:rPr>
        <w:t>服务用房使用面积指标。根据调研情况，会议、接待等服务用房使用面积一般为5～10 平方米/人，本标准给出的指标是根据调研情况综合确定的。通常情况下，各级党政机关办公用房可设置一个容纳全体人员参加的大型会议室或报告厅，并根据人员规模设置包括党组（党委）会议室、电视电话会议室在内的若干大、中、小型会议室，可根据人员规模设置一个或两个接待室。该指标不包括召开党代会和人大、政协会议以及政府全会等所需用房。</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第十三条</w:t>
      </w:r>
      <w:r>
        <w:rPr>
          <w:rFonts w:hint="eastAsia" w:ascii="方正仿宋简体" w:hAnsi="方正仿宋简体" w:eastAsia="方正仿宋简体" w:cs="方正仿宋简体"/>
          <w:bCs/>
          <w:iCs/>
          <w:sz w:val="26"/>
          <w:szCs w:val="26"/>
        </w:rPr>
        <w:t xml:space="preserve"> 设备用房使用面积指标。根据调研情况，设备用房面积一般占到办公室及服务用房面积之和的5</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 xml:space="preserve">～10 </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，由于规模、地域及设备需求的不同，以上指标差距较大。本建设标准在优化设计方案的基础上，规定宜将设备用房面积比例控制在9</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以内。</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第十四条 </w:t>
      </w:r>
      <w:r>
        <w:rPr>
          <w:rFonts w:hint="eastAsia" w:ascii="方正仿宋简体" w:hAnsi="方正仿宋简体" w:eastAsia="方正仿宋简体" w:cs="方正仿宋简体"/>
          <w:bCs/>
          <w:iCs/>
          <w:sz w:val="26"/>
          <w:szCs w:val="26"/>
        </w:rPr>
        <w:t>基本办公用房建筑总使用面积系数（总使用面积与总建筑面积之比值）。规定控制指标是为了提高建筑面积利用率，纠正办公用房门厅大、走廊宽、电梯厅过大的问题，增加办公室的有效使用面积。办公用房建筑总使用面积系数中，高层建筑由于垂直及水平交通、管井等原因，其系数一般略低于多层建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第十五条 </w:t>
      </w:r>
      <w:r>
        <w:rPr>
          <w:rFonts w:hint="eastAsia" w:ascii="方正仿宋简体" w:hAnsi="方正仿宋简体" w:eastAsia="方正仿宋简体" w:cs="方正仿宋简体"/>
          <w:bCs/>
          <w:iCs/>
          <w:sz w:val="26"/>
          <w:szCs w:val="26"/>
        </w:rPr>
        <w:t>附属用房建筑面积指标。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食堂建筑面积指标的确定是在综合实际调研情况的基础上，采用了《饮食建筑设计规范》（JGJ64-89）中一级食堂标准：每座位建筑面积3.7 平方米，编制定员超过100人的，超出人员的人均建筑面积考虑了0.7的同时就餐系数。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党政机关办公用房的建设应该充分考虑利用社会停车设施，对于大型办公用房建筑确需建设独立汽车库的，要充分利用办公用房的人防地下室或半地下室作为汽车库。按有关标准规定，汽车库建筑面积小型汽车一般按每车位40 平方米计算，考虑到停车位数量较多时，每车位平均建筑面积可以有效降低的因素，超出200个停车位以上部分按每车位38 平方米计算。地面停车数量与汽车库停车数量比例，应根据建设项目的具体情况进行确定。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党政机关办公用房的建设应该充分考虑利用地面存放自行车，对于大型办公用房建筑确需建设地下自行车库的，要充分利用办公用房的人防地下室或半地下室作为自行车库。按有关标准规定，自行车库建筑面积一般按每车位1.8 平方米计算。根据目前各地的实际情况，本建设标准增加了电动车、摩托车库的建设标准，一般按每车位2.5 平方米计算。</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警卫用房的建设参照《武警内卫执勤部队营房建筑面积标准（试行）》（〔2003〕武后字第39号）和2009年《中国人民解放军营房建筑面积标准》的有关规定，可按25平方米/人进行总体控制。</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国家人防部门对办公用房人防设施的建设有专门规定，因此人防设施的建设应按国家规定的设防要求和面积指标计算建筑面积。按照平战结合、充分利用的原则，同时考虑今后发展的需要，可与地下汽车库建设一并考虑。</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第三章选址、布局与建设用地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第十七条 </w:t>
      </w:r>
      <w:r>
        <w:rPr>
          <w:rFonts w:hint="eastAsia" w:ascii="方正仿宋简体" w:hAnsi="方正仿宋简体" w:eastAsia="方正仿宋简体" w:cs="方正仿宋简体"/>
          <w:bCs/>
          <w:iCs/>
          <w:sz w:val="26"/>
          <w:szCs w:val="26"/>
        </w:rPr>
        <w:t>本条规定了党政机关办公用房的选址原则。党政机关办公用房选址的要求，主要是从保障其行政需求和使用方便，以及相应的安全、卫生和服务大众等方面考虑的。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第十八条</w:t>
      </w:r>
      <w:r>
        <w:rPr>
          <w:rFonts w:hint="eastAsia" w:ascii="方正仿宋简体" w:hAnsi="方正仿宋简体" w:eastAsia="方正仿宋简体" w:cs="方正仿宋简体"/>
          <w:bCs/>
          <w:iCs/>
          <w:sz w:val="26"/>
          <w:szCs w:val="26"/>
        </w:rPr>
        <w:t xml:space="preserve"> 本条规定了党政机关办公用房在城市布局中的总体要求。布局相对集中有利于提高行政和办事效率。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联合建设办公用房，能够共同使用后勤服务、设备设施等用房， 可以达到减少投资、提高管理水平与行政效率的目的，也有利于节约用地。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第十九条</w:t>
      </w:r>
      <w:r>
        <w:rPr>
          <w:rFonts w:hint="eastAsia" w:ascii="方正仿宋简体" w:hAnsi="方正仿宋简体" w:eastAsia="方正仿宋简体" w:cs="方正仿宋简体"/>
          <w:bCs/>
          <w:iCs/>
          <w:sz w:val="26"/>
          <w:szCs w:val="26"/>
        </w:rPr>
        <w:t xml:space="preserve"> 本条规定了党政机关办公用房建筑总平面布置的基本原则。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第二十条 </w:t>
      </w:r>
      <w:r>
        <w:rPr>
          <w:rFonts w:hint="eastAsia" w:ascii="方正仿宋简体" w:hAnsi="方正仿宋简体" w:eastAsia="方正仿宋简体" w:cs="方正仿宋简体"/>
          <w:bCs/>
          <w:iCs/>
          <w:sz w:val="26"/>
          <w:szCs w:val="26"/>
        </w:rPr>
        <w:t>本条明确了党政机关办公用房建设用地的构成。建筑主体及其附属建筑用地是指党政机关办公用房建筑基底占地及建筑周边必须的维护用地；道路及停车用地是指党政机关办公建筑用地内专用的车辆或行人通道以及机动车和非机动车停车场所；绿化用地是指党政机关办公用房用地内用来维护环境的用地。</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第二十一条</w:t>
      </w:r>
      <w:r>
        <w:rPr>
          <w:rFonts w:hint="eastAsia" w:ascii="方正仿宋简体" w:hAnsi="方正仿宋简体" w:eastAsia="方正仿宋简体" w:cs="方正仿宋简体"/>
          <w:bCs/>
          <w:iCs/>
          <w:sz w:val="26"/>
          <w:szCs w:val="26"/>
        </w:rPr>
        <w:t xml:space="preserve"> 本条从节约用地的角度考虑，规定党政机关办公用房改建、扩建工程应充分利用原有场地和设施。</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第二十二条 </w:t>
      </w:r>
      <w:r>
        <w:rPr>
          <w:rFonts w:hint="eastAsia" w:ascii="方正仿宋简体" w:hAnsi="方正仿宋简体" w:eastAsia="方正仿宋简体" w:cs="方正仿宋简体"/>
          <w:bCs/>
          <w:iCs/>
          <w:sz w:val="26"/>
          <w:szCs w:val="26"/>
        </w:rPr>
        <w:t>本条禁止在办公用房建设用地内建设与办公无关的其他建筑，禁止占用属于公共空间的风景名胜资源。</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第二十三条</w:t>
      </w:r>
      <w:r>
        <w:rPr>
          <w:rFonts w:hint="eastAsia" w:ascii="方正仿宋简体" w:hAnsi="方正仿宋简体" w:eastAsia="方正仿宋简体" w:cs="方正仿宋简体"/>
          <w:bCs/>
          <w:iCs/>
          <w:sz w:val="26"/>
          <w:szCs w:val="26"/>
        </w:rPr>
        <w:t xml:space="preserve"> 城乡规划对城镇中不同区位建设用地的建筑容积率、建筑密度和绿地率等指标都有相应的控制要求。党政机关办公用房由于在城镇中所处的位置不同，其建设用地的相关控制要求也会不同。比如：位于城市中心地段、用地十分紧张的，其建筑容积率可相对较高；紧邻历史建筑、建筑高度受到限制的，其容积率会相对较低等。本条给出建筑容积率的低限控制要求，有利于节约集约用地。</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第四章建筑标准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第二十六条</w:t>
      </w:r>
      <w:r>
        <w:rPr>
          <w:rFonts w:hint="eastAsia" w:ascii="方正仿宋简体" w:hAnsi="方正仿宋简体" w:eastAsia="方正仿宋简体" w:cs="方正仿宋简体"/>
          <w:bCs/>
          <w:iCs/>
          <w:sz w:val="26"/>
          <w:szCs w:val="26"/>
        </w:rPr>
        <w:t xml:space="preserve"> 本条规定党政机关办公用房不宜建造一、二层的低层建筑，是为了节约土地资源，提高建设用地的利用率。同时，为控制建筑的建造成本，也规定了党政机关办公用房不应建造超高层、超大体量建筑。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第二十七条</w:t>
      </w:r>
      <w:r>
        <w:rPr>
          <w:rFonts w:hint="eastAsia" w:ascii="方正仿宋简体" w:hAnsi="方正仿宋简体" w:eastAsia="方正仿宋简体" w:cs="方正仿宋简体"/>
          <w:bCs/>
          <w:iCs/>
          <w:sz w:val="26"/>
          <w:szCs w:val="26"/>
        </w:rPr>
        <w:t xml:space="preserve"> 本条规定有利于节约土地资源，提高建设用地的利用率。党政机关办公用房的集中或合并建设是行之有效的方法， 同时可使建造党政机关办公用房涉及的其他方面资源进行整合，如服务用房、附属用房的合并使用，动力及相关建筑设施的共用等，都会大大降低总体的建造费用和日常的运营费用。</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第二十八条 </w:t>
      </w:r>
      <w:r>
        <w:rPr>
          <w:rFonts w:hint="eastAsia" w:ascii="方正仿宋简体" w:hAnsi="方正仿宋简体" w:eastAsia="方正仿宋简体" w:cs="方正仿宋简体"/>
          <w:bCs/>
          <w:iCs/>
          <w:sz w:val="26"/>
          <w:szCs w:val="26"/>
        </w:rPr>
        <w:t>办公用房标准层的建筑面积应体现经济合理性，由于低层、多层、高层办公用房都需要相应且必要的竖向交通设施，而这些竖向交通设施所占标准层的建筑面积在同一类办公用房中是基本相同的。标准层的建筑面积越小，竖向交通设施所占标准层建筑面积的比例就越大，那么办公所用的使用面积就越小，使用系数也就越低。经调查，有些党政机关办公用房为追求高度、外表形象，其标准层建筑面积过小，导致办公用房的建造不经济、使用不合理。</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第二十九条</w:t>
      </w:r>
      <w:r>
        <w:rPr>
          <w:rFonts w:hint="eastAsia" w:ascii="方正仿宋简体" w:hAnsi="方正仿宋简体" w:eastAsia="方正仿宋简体" w:cs="方正仿宋简体"/>
          <w:bCs/>
          <w:iCs/>
          <w:sz w:val="26"/>
          <w:szCs w:val="26"/>
        </w:rPr>
        <w:t xml:space="preserve"> 办公用房门厅的基本功能是满足进出办公用房人员的集散要求，同时也有一定的展示需求。但少数已建成的党政机关办公用房的主要门厅，过于高大、豪华，造成了不必要的浪费，引起人民群众不满。门厅不能高过两层是根据《关于进一步严格控制党政机关办公楼等楼堂馆所建设问题的通知》（中办发〔2007〕11 号）确定的。各级党政机关办公用房入口门厅的使用面积指标是根据实地调查测算确定的。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第三十条</w:t>
      </w:r>
      <w:r>
        <w:rPr>
          <w:rFonts w:hint="eastAsia" w:ascii="方正仿宋简体" w:hAnsi="方正仿宋简体" w:eastAsia="方正仿宋简体" w:cs="方正仿宋简体"/>
          <w:bCs/>
          <w:iCs/>
          <w:sz w:val="26"/>
          <w:szCs w:val="26"/>
        </w:rPr>
        <w:t xml:space="preserve"> 本条是根据《关于进一步严格控制党政机关办公楼等楼堂馆所建设问题的通知》（中办发〔2007〕11 号）确定的。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第三十一条 </w:t>
      </w:r>
      <w:r>
        <w:rPr>
          <w:rFonts w:hint="eastAsia" w:ascii="方正仿宋简体" w:hAnsi="方正仿宋简体" w:eastAsia="方正仿宋简体" w:cs="方正仿宋简体"/>
          <w:bCs/>
          <w:iCs/>
          <w:sz w:val="26"/>
          <w:szCs w:val="26"/>
        </w:rPr>
        <w:t>办公用房标准层的层高与建筑的结构形式、设施状况有关，而建筑的结构形式、设施状况又与各地的建造条件、气候条件有关。因此，未直接规定层高，而是区分不同情况规定标准层中办公室的净高。其中，各类数值依据相关规范和标准制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第三十二条 </w:t>
      </w:r>
      <w:r>
        <w:rPr>
          <w:rFonts w:hint="eastAsia" w:ascii="方正仿宋简体" w:hAnsi="方正仿宋简体" w:eastAsia="方正仿宋简体" w:cs="方正仿宋简体"/>
          <w:bCs/>
          <w:iCs/>
          <w:sz w:val="26"/>
          <w:szCs w:val="26"/>
        </w:rPr>
        <w:t>办公用房标准层主要以各类办公室组成，标准层中的水平交通是由走道组织。走道过窄将影响水平交通或紧急疏散，过宽则降低标准层的使用系数，减少标准层的使用面积，造成不必要的浪费。本条的各个数值是通过对多个办公用房走道宽度实地调查测算而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第三十三条</w:t>
      </w:r>
      <w:r>
        <w:rPr>
          <w:rFonts w:hint="eastAsia" w:ascii="方正仿宋简体" w:hAnsi="方正仿宋简体" w:eastAsia="方正仿宋简体" w:cs="方正仿宋简体"/>
          <w:bCs/>
          <w:iCs/>
          <w:sz w:val="26"/>
          <w:szCs w:val="26"/>
        </w:rPr>
        <w:t xml:space="preserve"> 五层及五层以上的党政机关办公用房应设置乘客电梯的规定，是依据《办公建筑设计规范》（JGJ67－2006）的相关条文，并结合党政机关办公用房使用的需求与实际情况确定的。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第三十五条</w:t>
      </w:r>
      <w:r>
        <w:rPr>
          <w:rFonts w:hint="eastAsia" w:ascii="方正仿宋简体" w:hAnsi="方正仿宋简体" w:eastAsia="方正仿宋简体" w:cs="方正仿宋简体"/>
          <w:bCs/>
          <w:iCs/>
          <w:sz w:val="26"/>
          <w:szCs w:val="26"/>
        </w:rPr>
        <w:t xml:space="preserve"> 推广采用办公室空间布置型式。采用大开间开放式办公型式，可根据使用需要采用轻质隔墙，便于灵活布置，提高面积利用率，这是今后办公建筑空间布置的发展方向。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第三十六条 </w:t>
      </w:r>
      <w:r>
        <w:rPr>
          <w:rFonts w:hint="eastAsia" w:ascii="方正仿宋简体" w:hAnsi="方正仿宋简体" w:eastAsia="方正仿宋简体" w:cs="方正仿宋简体"/>
          <w:bCs/>
          <w:iCs/>
          <w:sz w:val="26"/>
          <w:szCs w:val="26"/>
        </w:rPr>
        <w:t>每栋建筑自建造完成到最终拆除是一个寿命周期，每栋建筑的设计也有一个依据建筑科学确定的设计使用年限。建筑的寿命周期与设计使用年限两者有关联但并不一致，有的建筑由于建造质量好，功能设计合理，其寿命周期大大超过了设计使用年限，而另一些建筑却由于各种原因，尚未到达其规定的设计使用年限就已经结束了寿命周期。如果在保证建筑功能正常使用的前提下，建筑自身的寿命周期越长，也就越节约。本条从节约资源的角度出发，规定党政机关办公用房起码应保证在设计使用年限期间能正常使用。</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第五章建筑装修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第三十七条</w:t>
      </w:r>
      <w:r>
        <w:rPr>
          <w:rFonts w:hint="eastAsia" w:ascii="方正仿宋简体" w:hAnsi="方正仿宋简体" w:eastAsia="方正仿宋简体" w:cs="方正仿宋简体"/>
          <w:bCs/>
          <w:iCs/>
          <w:sz w:val="26"/>
          <w:szCs w:val="26"/>
        </w:rPr>
        <w:t xml:space="preserve"> 营造适宜的视觉环境是装修工程的重要功能之一，本条对装修的风格、视觉效果提出要求。因地制宜选用装修材料或构配件，目的是为了节约投资。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第三十八条</w:t>
      </w:r>
      <w:r>
        <w:rPr>
          <w:rFonts w:hint="eastAsia" w:ascii="方正仿宋简体" w:hAnsi="方正仿宋简体" w:eastAsia="方正仿宋简体" w:cs="方正仿宋简体"/>
          <w:bCs/>
          <w:iCs/>
          <w:sz w:val="26"/>
          <w:szCs w:val="26"/>
        </w:rPr>
        <w:t xml:space="preserve"> 本条明确了室内装修所包含的项目范围。</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第三十九条</w:t>
      </w:r>
      <w:r>
        <w:rPr>
          <w:rFonts w:hint="eastAsia" w:ascii="方正仿宋简体" w:hAnsi="方正仿宋简体" w:eastAsia="方正仿宋简体" w:cs="方正仿宋简体"/>
          <w:bCs/>
          <w:iCs/>
          <w:sz w:val="26"/>
          <w:szCs w:val="26"/>
        </w:rPr>
        <w:t xml:space="preserve"> 本条是根据实际调研情况确定的。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第四十条 </w:t>
      </w:r>
      <w:r>
        <w:rPr>
          <w:rFonts w:hint="eastAsia" w:ascii="方正仿宋简体" w:hAnsi="方正仿宋简体" w:eastAsia="方正仿宋简体" w:cs="方正仿宋简体"/>
          <w:bCs/>
          <w:iCs/>
          <w:sz w:val="26"/>
          <w:szCs w:val="26"/>
        </w:rPr>
        <w:t>本条规定了各类办公用房不同房间或部位进行装修设计的选择标准。由于党政机关办公用房的类别不同，建筑所处地区经济发展水平不同，周边城镇环境、气候及建筑风貌不同，各类用房的使用功能不同，装修材料或构件的品种、规格和色彩丰富多样，同一种材料因档次不同价差较大等因素，确定了中高级、中级和基本三个装修档次。相关房间或部位的装修标准，是根据调研情况和办公用房的实际需要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第四十一条</w:t>
      </w:r>
      <w:r>
        <w:rPr>
          <w:rFonts w:hint="eastAsia" w:ascii="方正仿宋简体" w:hAnsi="方正仿宋简体" w:eastAsia="方正仿宋简体" w:cs="方正仿宋简体"/>
          <w:bCs/>
          <w:iCs/>
          <w:sz w:val="26"/>
          <w:szCs w:val="26"/>
        </w:rPr>
        <w:t xml:space="preserve"> 本条是根据适用、节能的原则确定的。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第四十二条 </w:t>
      </w:r>
      <w:r>
        <w:rPr>
          <w:rFonts w:hint="eastAsia" w:ascii="方正仿宋简体" w:hAnsi="方正仿宋简体" w:eastAsia="方正仿宋简体" w:cs="方正仿宋简体"/>
          <w:bCs/>
          <w:iCs/>
          <w:sz w:val="26"/>
          <w:szCs w:val="26"/>
        </w:rPr>
        <w:t>装修工程做装饰性暖气罩是北方地区较常见做法，一般没有实际的使用功能，这样做会降低暖气散热效率，不利于建筑节能，不利于节约建设资金。</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第四十三条</w:t>
      </w:r>
      <w:r>
        <w:rPr>
          <w:rFonts w:hint="eastAsia" w:ascii="方正仿宋简体" w:hAnsi="方正仿宋简体" w:eastAsia="方正仿宋简体" w:cs="方正仿宋简体"/>
          <w:bCs/>
          <w:iCs/>
          <w:sz w:val="26"/>
          <w:szCs w:val="26"/>
        </w:rPr>
        <w:t xml:space="preserve"> 本条文明确了室外装修所包含的项目范围。</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第四十四条</w:t>
      </w:r>
      <w:r>
        <w:rPr>
          <w:rFonts w:hint="eastAsia" w:ascii="方正仿宋简体" w:hAnsi="方正仿宋简体" w:eastAsia="方正仿宋简体" w:cs="方正仿宋简体"/>
          <w:bCs/>
          <w:iCs/>
          <w:sz w:val="26"/>
          <w:szCs w:val="26"/>
        </w:rPr>
        <w:t xml:space="preserve"> 本条规定了办公用房室外装修应遵循的原则。玻璃幕墙与非透明外墙相比，热工性能相差较多，从建筑节能、控制造价的角度，不宜提倡在建筑立面大面积采用玻璃幕墙。主入口不应使用铜质门、豪华旋转门，能够体现党政机关办公用房装修实用、经济、庄重的原则，避免浪费。</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第四十五条</w:t>
      </w:r>
      <w:r>
        <w:rPr>
          <w:rFonts w:hint="eastAsia" w:ascii="方正仿宋简体" w:hAnsi="方正仿宋简体" w:eastAsia="方正仿宋简体" w:cs="方正仿宋简体"/>
          <w:bCs/>
          <w:iCs/>
          <w:sz w:val="26"/>
          <w:szCs w:val="26"/>
        </w:rPr>
        <w:t xml:space="preserve"> 对装修工程造价作出规定是控制投资的方法之一，本条文限制的百分比，是在对已建党政机关办公用房装修造价调查统计以及对类似公共建筑装修造价的分析基础上确定的。</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第六章室内环境与建筑设备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第四十六条</w:t>
      </w:r>
      <w:r>
        <w:rPr>
          <w:rFonts w:hint="eastAsia" w:ascii="方正仿宋简体" w:hAnsi="方正仿宋简体" w:eastAsia="方正仿宋简体" w:cs="方正仿宋简体"/>
          <w:bCs/>
          <w:iCs/>
          <w:sz w:val="26"/>
          <w:szCs w:val="26"/>
        </w:rPr>
        <w:t xml:space="preserve"> 《公共建筑节能设计标准》（GB50189-2005）中，对于办公用房的集中采暖系统室内设计计算温度为：门厅、楼（电）梯，16℃；办公室，20℃；会议室、接待室、多功能厅，18℃。冬季室内温度设定越高，能耗越多。一般来说，室内温度每调低 1℃，能耗可减少 5</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～10％。而夏季办公室室内设计计算温度为 25℃。夏季室内设定温度越低，能耗会越高。一般来说，室内温度每调高 1℃，能耗可减少 8</w:t>
      </w:r>
      <w:r>
        <w:rPr>
          <w:rFonts w:hint="eastAsia" w:ascii="方正仿宋简体" w:hAnsi="方正仿宋简体" w:eastAsia="方正仿宋简体" w:cs="方正仿宋简体"/>
          <w:bCs/>
          <w:iCs/>
          <w:sz w:val="26"/>
          <w:szCs w:val="26"/>
        </w:rPr>
        <w:drawing>
          <wp:inline distT="0" distB="0" distL="114300" distR="114300">
            <wp:extent cx="82550" cy="146050"/>
            <wp:effectExtent l="0" t="0" r="12700" b="635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5" cstate="print"/>
                    <a:stretch>
                      <a:fillRect/>
                    </a:stretch>
                  </pic:blipFill>
                  <pic:spPr>
                    <a:xfrm>
                      <a:off x="0" y="0"/>
                      <a:ext cx="82550" cy="146050"/>
                    </a:xfrm>
                    <a:prstGeom prst="rect">
                      <a:avLst/>
                    </a:prstGeom>
                    <a:noFill/>
                    <a:ln>
                      <a:noFill/>
                    </a:ln>
                  </pic:spPr>
                </pic:pic>
              </a:graphicData>
            </a:graphic>
          </wp:inline>
        </w:drawing>
      </w:r>
      <w:r>
        <w:rPr>
          <w:rFonts w:hint="eastAsia" w:ascii="方正仿宋简体" w:hAnsi="方正仿宋简体" w:eastAsia="方正仿宋简体" w:cs="方正仿宋简体"/>
          <w:bCs/>
          <w:iCs/>
          <w:sz w:val="26"/>
          <w:szCs w:val="26"/>
        </w:rPr>
        <w:t>～10％。</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本条的规定是根据 2007 年 6 月 1 日国务院办公厅《关于严格执行公共建筑空调温度控制标准》的通知中“夏季室内空调温度设置不得低于 26℃，冬季室内空调温度设置不得高于 20℃”的规定确定的。</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第四十七条</w:t>
      </w:r>
      <w:r>
        <w:rPr>
          <w:rFonts w:hint="eastAsia" w:ascii="方正仿宋简体" w:hAnsi="方正仿宋简体" w:eastAsia="方正仿宋简体" w:cs="方正仿宋简体"/>
          <w:bCs/>
          <w:iCs/>
          <w:sz w:val="26"/>
          <w:szCs w:val="26"/>
        </w:rPr>
        <w:t xml:space="preserve"> 各个朝向窗墙面积比是指不同朝向外墙面上的窗、阳台门包括幕墙透明部分的总面积与所在朝向建筑的外墙面总面积(包括该朝向的窗、阳台门及幕墙的透明部分的总面积之比。</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窗墙面积比的确定要综合考虑多方面的因素，其中最主要的是不同地区冬、夏季日照情况（日照时间长短、太阳总辐射强度、阳光入射角大小），季风影响、室外空气温度、室内采光设计标准以及外窗开窗面积与建筑能耗等因素。一般普通窗户（包括阳台门的透明部分）的保温隔热性能比外墙差很多，窗墙面积比越大，采暖和空调能耗也越大。因此，从降低建筑能耗的角度出发，必须限制窗墙面积比。</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近年来，公共建筑的窗墙面积比有越来越大的趋势，这是由于人们希望公共建筑更加通透明亮，建筑立面更加美观，建筑形态更为丰富。但是，与非透明的外墙相比，在可接受的造价范围内，透明的窗和幕墙的热工性能相差得较多。因此，不宜提倡在建筑立面上大面积应用玻璃（或其他透明材料的）幕墙。如果希望建筑的立面有玻璃的质感，提倡使用非透明的玻璃幕墙，即玻璃的后面仍然是保温隔热材料和普通墙体。</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党政机关办公用房不应采用通透玻璃幕墙形式，应该控制各朝向立面窗墙比，对于主立面，给予了较大窗墙比的选择，其余朝向在考虑天然采光的前提下宜采用较小窗墙比，以节省能耗。</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第四十八条</w:t>
      </w:r>
      <w:r>
        <w:rPr>
          <w:rFonts w:hint="eastAsia" w:ascii="方正仿宋简体" w:hAnsi="方正仿宋简体" w:eastAsia="方正仿宋简体" w:cs="方正仿宋简体"/>
          <w:bCs/>
          <w:iCs/>
          <w:sz w:val="26"/>
          <w:szCs w:val="26"/>
        </w:rPr>
        <w:tab/>
      </w:r>
      <w:r>
        <w:rPr>
          <w:rFonts w:hint="eastAsia" w:ascii="方正仿宋简体" w:hAnsi="方正仿宋简体" w:eastAsia="方正仿宋简体" w:cs="方正仿宋简体"/>
          <w:bCs/>
          <w:iCs/>
          <w:sz w:val="26"/>
          <w:szCs w:val="26"/>
        </w:rPr>
        <w:t>2005 年 12 月6 日建设部、发展改革委、财政部、人事部、民政部、劳动和社会保障部、税务总局、环保总局八部委印发的《关于进一步推进城镇供热体制改革的意见》（建城〔2005〕220 号）明确提出：新建住宅和公共建筑必须安装楼前热计量表和散热器恒温控制阀，新建住宅同时还要具备分户热计量条件。</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集中空调系统的冷量和热量计量与我国北方地区的采暖热计量一样，是一项重要的建筑节能措施。设置能量计量装置不仅有利于管理与收费，用户也能及时了解和分析用能情况，加强管理，提高节能意识和节能的积极性，自觉采取节能措施。根据文件精神并为了增强国家公务人员的节能意识，规定应设置分楼层或分室内区域或分用户室温可调控装置，便于主动调控室温。</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第四十九条</w:t>
      </w:r>
      <w:r>
        <w:rPr>
          <w:rFonts w:hint="eastAsia" w:ascii="方正仿宋简体" w:hAnsi="方正仿宋简体" w:eastAsia="方正仿宋简体" w:cs="方正仿宋简体"/>
          <w:bCs/>
          <w:iCs/>
          <w:sz w:val="26"/>
          <w:szCs w:val="26"/>
        </w:rPr>
        <w:t xml:space="preserve"> 为节约能源，并减少饮用水水质污染，办公用房底部的用水点应充分利用市政管网水压直接供水。管网叠压式供水设备近几年在北京、天津、广州、福州等城市中得到推广应用。设备主要由流量调节器（稳流补偿器）和变频调速供水设备组成，流量调节器（稳流补偿器）上设有真空抑制器（负压抑制器）。特点是不需要设水池（箱），供水设备直接从市政供水管网上吸水加压，解决了水池（箱）污染的问题，可充分利用市政供水管网的水压，节能效果显著。真空抑制器（负压抑制器）保证设备不产生负压，污染市政管网。供水设备厂商成套供应，安装简单，施工周期短，占地小等，符合节能、节水的原则。但其使用也是有条件的，首先建设单位和设计单位应与自来水公司进行技术咨询和沟通，对建设项目周边的市政管网情况（如：管径、水压、供水量及用水负荷等） 进行综合评价。</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在自来水公司确认该项目所在区域市政管网具备使用条件后方能采用管网叠压供水设备，并应确保不对市政管网产生回流污染。我国目前已有《管网叠压供水设备》（CJ/T254-2007）及《管网叠压供水技术规程》（CECS221：2007）的规定，为管网叠压供水设备的设计、使用、安装与维护提供了保证。</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第五十条 采用节水型卫生器具和配件是节水的重要措施。党政机关更应严格执行国家的相关节水规定，不采用国家明令禁止使用的卫生设备。</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第五十一条</w:t>
      </w:r>
      <w:r>
        <w:rPr>
          <w:rFonts w:hint="eastAsia" w:ascii="方正仿宋简体" w:hAnsi="方正仿宋简体" w:eastAsia="方正仿宋简体" w:cs="方正仿宋简体"/>
          <w:bCs/>
          <w:iCs/>
          <w:sz w:val="26"/>
          <w:szCs w:val="26"/>
        </w:rPr>
        <w:t xml:space="preserve"> 《建筑照明设计标准》（GB50034）从照明质量、照明数量以及照明节能等方面做了规定，必须严格执行。</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第五十二条 </w:t>
      </w:r>
      <w:r>
        <w:rPr>
          <w:rFonts w:hint="eastAsia" w:ascii="方正仿宋简体" w:hAnsi="方正仿宋简体" w:eastAsia="方正仿宋简体" w:cs="方正仿宋简体"/>
          <w:bCs/>
          <w:iCs/>
          <w:sz w:val="26"/>
          <w:szCs w:val="26"/>
        </w:rPr>
        <w:t>公共场所的照明采用集中控制，主要是为了避免长明灯，有利于节约能源。</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第七章智能化系统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第五十三条</w:t>
      </w:r>
      <w:r>
        <w:rPr>
          <w:rFonts w:hint="eastAsia" w:ascii="方正仿宋简体" w:hAnsi="方正仿宋简体" w:eastAsia="方正仿宋简体" w:cs="方正仿宋简体"/>
          <w:bCs/>
          <w:iCs/>
          <w:sz w:val="26"/>
          <w:szCs w:val="26"/>
        </w:rPr>
        <w:t xml:space="preserve"> 依据《智能建筑设计标准》（GB/T50314-2006），结合党政机关办公用房功能需求确定。</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 xml:space="preserve">第五十四条 </w:t>
      </w:r>
      <w:r>
        <w:rPr>
          <w:rFonts w:hint="eastAsia" w:ascii="方正仿宋简体" w:hAnsi="方正仿宋简体" w:eastAsia="方正仿宋简体" w:cs="方正仿宋简体"/>
          <w:bCs/>
          <w:iCs/>
          <w:sz w:val="26"/>
          <w:szCs w:val="26"/>
        </w:rPr>
        <w:t>智能化集成系统是指，将不同功能的建筑智能化系统，通过统一的信息平台实现集成，以形成具有信息汇集、资源共享及优化管理等综合功能的系统。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根据实际调研情况，中央机关、省级机关、市级机关办公业务综合性较强，办公用房的功能结构较完整、建筑物规模较大、建筑机电设备系统较复杂，参照《智能建筑设计标准》（GB/T50314-2006），本条规定这些办公用房宜设置能提供建筑综合管理功能的智能化集成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第五十五条</w:t>
      </w:r>
      <w:r>
        <w:rPr>
          <w:rFonts w:hint="eastAsia" w:ascii="方正仿宋简体" w:hAnsi="方正仿宋简体" w:eastAsia="方正仿宋简体" w:cs="方正仿宋简体"/>
          <w:bCs/>
          <w:iCs/>
          <w:sz w:val="26"/>
          <w:szCs w:val="26"/>
        </w:rPr>
        <w:t xml:space="preserve"> 信息设施系统是为确保建筑物与外部信息通信网的互联及信息畅通，对语音、数据、图像和多媒体等各类信息的接收、交换、传输、存储、检索和显示等进行综合处理的多种类信息系统加以组合，提供实现建筑物业务及管理等应用功能的信息通信基础设施。</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第五十六条</w:t>
      </w:r>
      <w:r>
        <w:rPr>
          <w:rFonts w:hint="eastAsia" w:ascii="方正仿宋简体" w:hAnsi="方正仿宋简体" w:eastAsia="方正仿宋简体" w:cs="方正仿宋简体"/>
          <w:bCs/>
          <w:iCs/>
          <w:sz w:val="26"/>
          <w:szCs w:val="26"/>
        </w:rPr>
        <w:t xml:space="preserve"> 信息化应用系统是以建筑物信息设施系统和建筑设备管理系统等为基础，为满足建筑物各类业务和管理功能的多种类信息设备与应用软件而组合的系统。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第五十七条</w:t>
      </w:r>
      <w:r>
        <w:rPr>
          <w:rFonts w:hint="eastAsia" w:ascii="方正仿宋简体" w:hAnsi="方正仿宋简体" w:eastAsia="方正仿宋简体" w:cs="方正仿宋简体"/>
          <w:bCs/>
          <w:iCs/>
          <w:sz w:val="26"/>
          <w:szCs w:val="26"/>
        </w:rPr>
        <w:t xml:space="preserve"> 公共安全系统是为应对火灾、非法侵入、各类重大安全事故等危及安全的各种突发事件，构建的技术防范保障体系。</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安全技术防范综合管理系统是安防监控中心对各安全防范信息集成综合管理的系统。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入侵（周界）报警系统是采用探测技术对建筑物周界防护、办公用房内的区域防护和重点实物目标防护的系统。</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视频安防监控系统是对办公用房内的主要公共活动场所、重要部位等进行视频有效监视、记录和画面再现的装置。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出入口控制系统是对建筑物内（外）通行门、出入口、主要通道、办公区域、重要办公室门等处设置出的入口控制装置。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电子巡查管理系统是通过读卡器或其他方式对保安人员巡查的工作状态进行运行记录并对意外情况及时报警的装置。</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第五十八条</w:t>
      </w:r>
      <w:r>
        <w:rPr>
          <w:rFonts w:hint="eastAsia" w:ascii="方正仿宋简体" w:hAnsi="方正仿宋简体" w:eastAsia="方正仿宋简体" w:cs="方正仿宋简体"/>
          <w:bCs/>
          <w:iCs/>
          <w:sz w:val="26"/>
          <w:szCs w:val="26"/>
        </w:rPr>
        <w:t xml:space="preserve"> 综合布线系统是支持语音、数据、图像和多媒体等各种业务信息传输的基础传输通道。</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第八章</w:t>
      </w:r>
      <w:r>
        <w:rPr>
          <w:rFonts w:hint="eastAsia" w:ascii="黑体" w:hAnsi="黑体" w:eastAsia="黑体" w:cs="黑体"/>
          <w:kern w:val="0"/>
          <w:sz w:val="26"/>
          <w:szCs w:val="26"/>
          <w:lang w:bidi="zh-CN"/>
        </w:rPr>
        <w:t xml:space="preserve"> </w:t>
      </w:r>
      <w:r>
        <w:rPr>
          <w:rFonts w:hint="eastAsia" w:ascii="黑体" w:hAnsi="黑体" w:eastAsia="黑体" w:cs="黑体"/>
          <w:kern w:val="0"/>
          <w:sz w:val="26"/>
          <w:szCs w:val="26"/>
          <w:lang w:val="zh-CN" w:bidi="zh-CN"/>
        </w:rPr>
        <w:t>附则</w:t>
      </w:r>
    </w:p>
    <w:p>
      <w:pPr>
        <w:spacing w:line="400" w:lineRule="exact"/>
        <w:ind w:firstLine="520" w:firstLineChars="200"/>
        <w:jc w:val="left"/>
        <w:rPr>
          <w:rFonts w:ascii="方正仿宋简体" w:hAnsi="方正仿宋简体" w:eastAsia="方正仿宋简体" w:cs="方正仿宋简体"/>
          <w:bCs/>
          <w:iCs/>
          <w:sz w:val="26"/>
          <w:szCs w:val="26"/>
        </w:rPr>
      </w:pPr>
      <w:r>
        <w:rPr>
          <w:rFonts w:hint="eastAsia" w:ascii="楷体" w:hAnsi="楷体" w:eastAsia="楷体" w:cs="楷体"/>
          <w:bCs/>
          <w:iCs/>
          <w:sz w:val="26"/>
          <w:szCs w:val="26"/>
        </w:rPr>
        <w:t>第五十九条</w:t>
      </w:r>
      <w:r>
        <w:rPr>
          <w:rFonts w:hint="eastAsia" w:ascii="方正仿宋简体" w:hAnsi="方正仿宋简体" w:eastAsia="方正仿宋简体" w:cs="方正仿宋简体"/>
          <w:bCs/>
          <w:iCs/>
          <w:sz w:val="26"/>
          <w:szCs w:val="26"/>
        </w:rPr>
        <w:t xml:space="preserve"> 本条是关于建设标准解释权的规定。</w:t>
      </w:r>
    </w:p>
    <w:p>
      <w:pPr>
        <w:spacing w:line="400" w:lineRule="exact"/>
        <w:ind w:firstLine="520" w:firstLineChars="200"/>
        <w:jc w:val="left"/>
        <w:rPr>
          <w:rFonts w:ascii="方正仿宋简体" w:hAnsi="方正仿宋简体" w:eastAsia="方正仿宋简体" w:cs="方正仿宋简体"/>
          <w:bCs/>
          <w:iCs/>
          <w:spacing w:val="-24"/>
          <w:sz w:val="26"/>
          <w:szCs w:val="26"/>
        </w:rPr>
      </w:pPr>
      <w:r>
        <w:rPr>
          <w:rFonts w:hint="eastAsia" w:ascii="楷体" w:hAnsi="楷体" w:eastAsia="楷体" w:cs="楷体"/>
          <w:bCs/>
          <w:iCs/>
          <w:sz w:val="26"/>
          <w:szCs w:val="26"/>
        </w:rPr>
        <w:t>第六十条</w:t>
      </w:r>
      <w:r>
        <w:rPr>
          <w:rFonts w:hint="eastAsia" w:ascii="方正仿宋简体" w:hAnsi="方正仿宋简体" w:eastAsia="方正仿宋简体" w:cs="方正仿宋简体"/>
          <w:bCs/>
          <w:iCs/>
          <w:sz w:val="26"/>
          <w:szCs w:val="26"/>
        </w:rPr>
        <w:t xml:space="preserve"> </w:t>
      </w:r>
      <w:r>
        <w:rPr>
          <w:rFonts w:hint="eastAsia" w:ascii="方正仿宋简体" w:hAnsi="方正仿宋简体" w:eastAsia="方正仿宋简体" w:cs="方正仿宋简体"/>
          <w:bCs/>
          <w:iCs/>
          <w:spacing w:val="-24"/>
          <w:sz w:val="26"/>
          <w:szCs w:val="26"/>
        </w:rPr>
        <w:t>本条是关于建设标准施行时间以及 1999 年标准同时停止执行的规定。</w:t>
      </w:r>
    </w:p>
    <w:p>
      <w:pPr>
        <w:pStyle w:val="6"/>
        <w:spacing w:line="400" w:lineRule="exact"/>
        <w:ind w:firstLine="520" w:firstLineChars="200"/>
        <w:jc w:val="left"/>
        <w:rPr>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小标宋简体" w:eastAsia="方正小标宋简体"/>
          <w:b/>
          <w:sz w:val="32"/>
          <w:szCs w:val="21"/>
        </w:rPr>
      </w:pPr>
    </w:p>
    <w:p>
      <w:pPr>
        <w:spacing w:line="400" w:lineRule="exact"/>
        <w:ind w:firstLine="640" w:firstLineChars="200"/>
        <w:jc w:val="center"/>
        <w:rPr>
          <w:rFonts w:ascii="方正仿宋简体" w:hAnsi="方正仿宋简体" w:eastAsia="方正仿宋简体" w:cs="方正仿宋简体"/>
          <w:sz w:val="26"/>
          <w:szCs w:val="26"/>
        </w:rPr>
      </w:pPr>
      <w:r>
        <w:rPr>
          <w:rFonts w:hint="eastAsia" w:ascii="方正小标宋简体" w:eastAsia="方正小标宋简体"/>
          <w:b/>
          <w:sz w:val="32"/>
          <w:szCs w:val="21"/>
        </w:rPr>
        <w:t>关于印发《山东省党政机关办公用房管理办法》、《山东省党政机关公务用车管理办法》的通知</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鲁办发【2018】49号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近日，省委办公厅、省政府办公厅印发了《山东省党政机关办公用房管理办法》《山东省党政机关公务用车管理办法》，要求各地各部门认真遵照执行。内容如下。</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sz w:val="32"/>
          <w:szCs w:val="32"/>
        </w:rPr>
        <w:t>山东省党政机关办公用房管理办法</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第一章 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进一步规范党政机关办公用房管理，推进办公用房资源合理配置和节约集约使用，保障办公需求，降低运行成本，促进党风廉政建设和节约型机关建设，根据《党政机关办公用房管理办法》《山东省实施〈党政机关厉行节约反对浪费条例〉办法》《山东省机关事务管理办法》等有关规定，结合我省实际，制定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第二条</w:t>
      </w:r>
      <w:r>
        <w:rPr>
          <w:rFonts w:hint="eastAsia" w:ascii="方正仿宋简体" w:hAnsi="方正仿宋简体" w:eastAsia="方正仿宋简体" w:cs="方正仿宋简体"/>
          <w:sz w:val="26"/>
          <w:szCs w:val="26"/>
        </w:rPr>
        <w:t xml:space="preserve"> 本办法适用于全省各级党政机关办公用房的规划、权属、配置、使用、维修、处置、物业等管理工作。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本办法所称党政机关，是指党的机关、人大机关、行政机关、政协机关、监察机关、审判机关、检察机关，以及工会、共青团、妇联等人民团体和参照公务员法管理的事业单位。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本办法所称办公用房，是指党政机关占有、使用或者可以确认属于机关资产的，为保障党政机关正常运行需要设置的基本工作场所，包括办公室、服务用房、设备用房和附属用房。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党政机关办公用房管理应当遵循下列原则：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（一）依法合规，严格执行法律法规和党内有关制度规定，强化监督管理；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（二）科学规划，统筹机关办公和公共服务需求，优化布局和功能；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（三）规范配置，科学制定标准，严格审核程序，合理保障需求；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（四）有效利用，统筹调剂余缺，及时依规处置，避免闲置浪费；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（五）厉行节约，注重庄重朴素、经济适用，节约能源资源。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建立健全党政机关办公用房集中统一管理制度，对办公用房实行统一规划建设、统一权属管理、统一配置调剂、统一维修管理、统一处置管理、统一物业规范。县级以上党政机关办公用房有关管理部门根据职责分工，负责本级党政机关办公用房管理工作，指导下级党政机关办公用房管理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省级党政机关办公用房管理，由省机关事务局负责规划、权属、配置、使用监管、维修、处置、物业规范等，省发展改革委负责建设项目审批、投资安排等，省财政厅负责预算安排、指导开展资产管理等。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市级及以下党政机关办公用房管理的职责分工，由各市、县（市、区）参照前款规定，结合本地实际情况合理确定相关机构承担办公用房管理职责。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各级党政机关是办公用房的使用单位，负责对占有、使用的办公用房实施内部管理和日常维护。</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第二章 权属管理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党政机关办公用房及其相应土地，均属国有资产，由各级人民政府按照所有权、使用权相分离的原则实施分级管理。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党政机关办公用房的房屋所有权、土地使用权等不动产权利（以下统称办公用房权属），统一登记至本级机关事务管理部门名下。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各级党政机关所属垂直管理机构、派出机构办公用房的权属管理工作，由本级机关事务管理部门委托其行政主管部门负责，权属登记在行政主管部门名下，并报本级机关事务管理部门备案。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办公用房建设项目竣工验收完成后，项目建设单位应当及时将办公用房权属登记至机关事务管理部门名下。办公用房权属申报资料不全的，应当由使用单位（建设单位）向有关部门申请补办。</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办公用房权属已经登记到使用单位名下的，由原申请登记单位提供相关档案资料，按照要求变更登记至机关事务管理部门名下。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第八条</w:t>
      </w:r>
      <w:r>
        <w:rPr>
          <w:rFonts w:hint="eastAsia" w:ascii="方正仿宋简体" w:hAnsi="方正仿宋简体" w:eastAsia="方正仿宋简体" w:cs="方正仿宋简体"/>
          <w:sz w:val="26"/>
          <w:szCs w:val="26"/>
        </w:rPr>
        <w:t xml:space="preserve"> 涉及国家秘密、国家安全等特殊情况的，经机关事务管理部门核准，可以将办公用房权属登记在使用单位名下。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确因历史资料缺失等问题无法登记的，使用单位不得自行处置，应当将现有办公用房相关档案资料报机关事务管理部门，由机关事务管理部门协调有关部门进行办公用房权属备案。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建立健全党政机关办公用房清查盘点制度。使用单位应当建立本单位办公用房资产管理分台账，资产信息发生变更的，及时调整更新。机关事务管理部门应当建立本级党政机关办公用房资产管理总台账，定期组织清查盘点，确保总台账信息与使用单位分台账信息账账相符，与办公用房实际状况账实相符，与权属证书信息账证相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第十条</w:t>
      </w:r>
      <w:r>
        <w:rPr>
          <w:rFonts w:hint="eastAsia" w:ascii="方正仿宋简体" w:hAnsi="方正仿宋简体" w:eastAsia="方正仿宋简体" w:cs="方正仿宋简体"/>
          <w:sz w:val="26"/>
          <w:szCs w:val="26"/>
        </w:rPr>
        <w:t xml:space="preserve"> 建立健全党政机关办公用房管理信息统计报告制度。各级机关事务管理部门应当建立健全本级党政机关办公用房管理信息系统，定期统计汇总办公用房管理情况，报上级机关事务管理部门，并送同级发展改革、财政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省机关事务局应当会同有关部门，统筹规划，按照统一技术标准建设涵盖市、县（市、区）的全省党政机关办公用房管理信息系统，实现上下一体、互联互通、动态管理。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完善全省党政机关办公用房信息数据库，实现与发展改革、财政、国土资源、住房城乡建设等部门共享共用，按照上级机关事务管理部门的部署要求逐步纳入国家数据共享交换平台。使用单位应当按照机关事务管理部门的要求及时填报本单位办公用房信息数据，确保信息数据准确、完整、真实。</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建立健全党政机关办公用房档案管理制度。使用单位应当加强本单位办公用房档案管理工作，及时归集权属、建设、维修等原始档案，并移交权属管理单位。权属管理单位应当加强办公用房档案的收集、保存和利用，确保档案完整。</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第三章 配置管理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县级以上机关事务管理、发展改革、财政部门应当会同有关部门，结合人员编制情况、办公与业务需要等，编制本级党政机关办公用房配置保障规划，优化办公用房布局，具备条件的逐步推进集中或者相对集中办公，共用配套附属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各级人民政府编制土地利用总体规划和城乡规划时，应当统筹安排本级党政机关办公用房用地。县级以上党政机关的驻在地人民政府应当有效保障上级党政机关办公用房用地需求。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党政机关办公用房配置应当严格执行相关标准，从严核定面积，统筹推进资源共享和集约利用。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党政机关办公用房配置方式包括调剂、置换、租用和建设。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使用单位因为机构增设、编制调整等原因新增办公用房需求的，应当向机关事务管理部门提出申请，由机关事务管理部门优先整合现有办公用房资源调剂解决。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采取置换方式配置办公用房的，应当严格履行审批程序，执行新建办公用房各项标准，确保符合办公用房各类功能要求，并按照规定组织资产评估，置换所得超出面积标准的办公用房由机关事务管理部门统一调剂，置换所得收益按照非税收入有关规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置换旧房的，由机关事务管理部门会同发展改革、财政部门报同级人民政府审批；置换新房的，应当严格履行建设审批程序。不得以置换名义量身打造办公用房，不得以未使用政府预算建设资金、资产整合等名义规避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无法调剂或者置换解决办公用房的，可以面向市场租用，但应当严格按照规定履行审批程序。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确需租用办公用房的，由使用单位提出申请，明确租赁地点、面积、期限等事项，经机关事务管理部门按照人员编制、办公用房配置标准等核准后，报财政部门审核安排预算；需要集中统一租赁办公用房的，经本级人民政府批准后，由机关事务管理部门统筹本级党政机关办公用房使用需求，制定租用方案，报财政部门审核安排预算，统一租赁并统筹安排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任何单位不得以变相补偿方式租用由企业等单位提供的办公用房。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各级财政部门会同机关事务管理部门，制定本级党政机关办公用房租金标准，并实行标准动态调整。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无法调剂、置换、租用办公用房，或者涉及国家秘密、国家安全等特殊情况的，可以采取建设方式解决，但应当按照国家有关政策从严控制，严格履行审批程序。党政机关办公用房建设包括新建、翻建、扩建、改建和购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建设应当遵循庄重、朴素、适用、安全和节能原则，根据党政机关办公和公共服务需求，结合城市发展规划，分类统筹安排，打破部门、系统界限，实行集中或者相对集中建设。不得以技术业务用房名义搭车建设办公用房。不得配套建设大型广场、公园等设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省和计划单列市本级党政机关办公用房建设项目，由省政府报国家发展改革委，国家发展改革委核报国务院审批。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省级其他党政机关办公用房建设项目（不含危房翻建项目），经省机关事务局提出审查意见后，由省发展改革委核报省政府审批；危房翻建项目，由省机关事务局核报省政府审批。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计划单列市其他党政机关、市（不含计划单列市）级党政机关和县本级党政机关办公用房建设项目，经市机关事务管理部门、发展改革部门按照职责分工审查后，由市级人民政府报省发展改革委，省发展改革委核报省政府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县级党政机关直属单位和乡（镇）级党政机关办公用房建设项目，经县机关事务管理部门、发展改革部门按照职责分工审查后，由市发展改革部门核报市级人民政府审批。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所属垂直管理机构、派出机构办公用房建设项目，经其省行政主管部门报省机关事务局审查后，由省发展改革委审批；市、县（市、区）党政机关所属垂直管理机构、派出机构办公用房建设项目，经其市行政主管部门报市机关事务管理部门审查后，由市发展改革部门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党政机关办公用房配置所需资金，应当通过政府预算安排，不得接受任何形式赞助或者捐款，不得搞任何形式集资或者摊派，不得向其他任何单位借款，不得让施工单位垫资，严禁挪用各类专项资金。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土地收益和资产转让收益按照非税收入有关规定管理，不得直接用于办公用房配置。涉及新增资产的，应当向财政部门申报新增资产配置预算。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新配置办公用房的党政机关，应当在搬入新办公用房后1个月内，将超出核定面积的原有办公用房腾退移交同级机关事务管理部门统一调剂使用，不得继续占用或者自行处置，不得自行安排其他单位使用。</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第四章 使用管理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机关事务管理部门应当与使用单位签订办公用房使用协议，核发办公用房使用权证。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办公用房使用权证可以按照有关规定用于办理使用单位法人登记、集体户籍、大中修项目施工许可等，不得用于出租、出借、经营等。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使用权证由省机关事务局统一监制。办公用房使用权登记按照申请受理、权属审核、核准登记、颁发证件等程序进行。使用单位应当如实申报登记资料。办公用房使用出现权属调整、使用单位名称变更、坐落位置或者门牌号变更、房屋灭失等情形的，使用单位应当在1个月内向机关事务管理部门提交申请，进行相应转移登记、变更登记或者注销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使用单位应当严格按照规定标准在核定面积内合理安排使用办公用房，不得擅自改变办公用房使用功能，不得调整给其他单位使用。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办公用房安排使用情况应当按照年度通过政务内网、公示栏等平台进行内部公示；领导干部办公用房配备情况应当按照年度报机关事务管理部门备案，严禁超标准配备、使用办公用房。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领导干部在不同单位同时任职的，应当在主要任职单位安排1处办公用房；主要任职单位与兼职单位相距较远且经常到兼职单位工作的，严格按照规定审批后，可以由兼职单位再安排1处小于标准面积的办公用房，并在免去兼任职务后2个月内腾退兼职单位安排的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工作人员调离或者退休的，使用单位应当在办理调离或者退休手续后1个月内收回其办公用房。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党政机关工作人员办公室具备条件的，应当采用大开间等形式，提高办公用房利用率。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会议室、接待室等服务用房，可以采取可拆卸式隔断设计，提高空间使用的灵活性。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项目批复中已经明确和机关一并建设办公用房的事业单位，按照面积标准核定后可以继续无偿使用党政机关办公用房。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益一类事业单位已经占用的机关办公用房，按照面积标准核定后可以继续无偿使用。公益二类事业单位已经占用的机关办公用房，应当按照规定予以腾退；确实难以腾退的，经机关事务管理部门批准，可以有偿使用，租金收益按照非税收入有关规定管理。事业单位已经新建、购置办公用房或者租用其他房屋办公的，应当在6个月内将原有办公用房腾退移交机关事务管理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生产经营类事业单位、国有企业和行业协会商会等社团组织，原则上不得占用党政机关办公用房。已经占用的，应当按照规定予以腾退；确实难以腾退的，经机关事务管理部门批准，可以有偿使用，租金收益按照非税收入有关规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党政机关办公用房使用单位机构、编制调整的，使用单位应当重新核定办公用房面积，并将相关情况报机关事务管理部门审核；超出面积标准的，使用单位应当在6个月内将超出部分的办公用房腾退移交机关事务管理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转为企业的，应当在办理企业工商注册后6个月内将原有办公用房腾退移交机关事务管理部门。转企单位确有困难的，经机关事务管理部门批准，可以继续有偿使用，租金收益按照非税收入有关规定管理；新建、购置或者租用办公用房的，应当在6个月内将原有办公用房腾退移交机关事务管理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党政机关撤销的，应当在6个月内将原有办公用房腾退移交机关事务管理部门。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党政机关办公用房使用单位承担办公用房使用安全管理责任，接受相关职能部门的监督和指导，做好办公用房使用安全管理工作。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探索试行办公用房租金制，逐步推进办公用房经费预算管理和实物资产管理相结合。</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第五章 维修管理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党政机关办公用房维修包括日常维修和大中修。省级党政机关办公用房维修标准由省机关事务局、省财政厅会同省住房城乡建设厅制定，市级及以下党政机关办公用房维修标准由各市结合实际统一制定，并建立标准动态调整机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使用单位负责办公用房的日常检查、维护和维修，所需经费通过部门预算安排。</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党政机关办公用房因使用时间较长、设施设备老化、功能不全、存在安全隐患或者突发灾害，不能满足办公需求需要进行大中修的，应当严格按照现场勘查、评估论证、造价审核、批前公示、计划编制、竣工核查等程序进行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使用单位或者办公楼（区）集中统一管理单位向机关事务管理部门提出申请；机关事务管理部门结合办公用房建筑年代、历史维修记录、老化损坏程度、单位建筑面积能耗水平和使用单位的实际需求，审批办公用房大中修项目。所需经费，由各单位根据综合预算原则纳入各部门年度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未经审批的项目，不得安排预算。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因自然灾害等不可预见因素造成办公用房质量安全或者使用状况突发异常需要进行的应急性大中修项目，使用单位应当根据实际先行组织抢修，事后及时办理相应备案审核手续。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第三十二条</w:t>
      </w:r>
      <w:r>
        <w:rPr>
          <w:rFonts w:hint="eastAsia" w:ascii="方正仿宋简体" w:hAnsi="方正仿宋简体" w:eastAsia="方正仿宋简体" w:cs="方正仿宋简体"/>
          <w:sz w:val="26"/>
          <w:szCs w:val="26"/>
        </w:rPr>
        <w:t xml:space="preserve"> 党政机关办公用房大中修项目应当以消除安全隐患、恢复和完善使用功能、降低能源资源消耗为重点，严格按照国家和地方相关法律规章规定的程序组织实施，严格执行计划审批、招标投标、合同管理、施工许可、质量安全监督、竣工验收备案等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在项目实施过程中，不得随意破坏或者改变原有建筑结构；不得擅自调整维修内容、扩大维修规模或者提高装修标准。确需变更的，应当按照规定程序重新报批。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项目申请单位应当组织做好办公用房维修项目的竣工验收和备案、工程决算、资料收集归档等工作，并将相关档案资料报机关事务管理部门备案。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机关事务管理部门应当会同有关部门，对党政机关办公用房大中修项目实施内容和标准进行核查，并督促使用单位及时变更报备办公用房使用管理信息。</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第六章 处置利用管理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机关事务管理部门可以根据办公用房状况、城市规划需要、使用单位需求等情况，在符合有关规定的前提下对党政机关办公用房进行统筹处置，不断优化和合理利用党政机关办公用房资源。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党政机关办公用房处置利用的方式包括调剂使用、转换用途、置换、出租、拍卖和拆除等。符合下列情形之一的，可以按照有关规定及时处置利用：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（一）同级党政机关办公用房总量满足使用需求，仍有余量的；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（二）因地理位置、周边环境、房屋结构等原因，不适合继续作为办公用房使用的；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（三）因城市更新、城乡规划调整等需要拆迁的；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（四）经专业机构鉴定属于危房，且无加固改造价值的；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（五）其他原因导致办公用房闲置的。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处置利用党政机关办公用房涉及权属、用途等变更的，应当严格按照程序报批，依法办理相关手续。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因城市更新、城乡规划调整等需要拆迁的，应当经机关事务管理部门核准，由权属管理单位、使用单位与房屋征收主管部门研究提出补偿安置方案，签订有关补偿安置协议，按照资产管理权限和程序，办理相关审批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第三十六条</w:t>
      </w:r>
      <w:r>
        <w:rPr>
          <w:rFonts w:hint="eastAsia" w:ascii="方正仿宋简体" w:hAnsi="方正仿宋简体" w:eastAsia="方正仿宋简体" w:cs="方正仿宋简体"/>
          <w:sz w:val="26"/>
          <w:szCs w:val="26"/>
        </w:rPr>
        <w:t xml:space="preserve"> 同一区域内闲置办公用房具备条件的，应当加强跨系统、跨层级调剂使用。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省级党政机关所属垂直管理机构、派出机构之间调剂使用的，由其行政主管部门审核提出意见，经省机关事务局批准后实施，调剂使用情况报省财政厅备案。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省级党政机关所属垂直管理机构、派出机构与市级及以下党政机关之间调剂使用的，由其行政主管部门会同当地人民政府审核提出意见，经省机关事务局会同省财政厅批准后实施。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市级及以下党政机关同级或者上下级之间，以及市级及以下党政机关所属垂直管理机构、派出机构之间调剂使用的，参照上述条款规定办理。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第三十七条</w:t>
      </w:r>
      <w:r>
        <w:rPr>
          <w:rFonts w:hint="eastAsia" w:ascii="方正仿宋简体" w:hAnsi="方正仿宋简体" w:eastAsia="方正仿宋简体" w:cs="方正仿宋简体"/>
          <w:sz w:val="26"/>
          <w:szCs w:val="26"/>
        </w:rPr>
        <w:t xml:space="preserve"> 具备条件的，机关事务管理部门可以商有关部门将闲置办公用房转为便民服务、社区活动等公益场所，或者按照有关规定置换为其他符合国家政策和需要的资产。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第三十八条</w:t>
      </w:r>
      <w:r>
        <w:rPr>
          <w:rFonts w:hint="eastAsia" w:ascii="方正仿宋简体" w:hAnsi="方正仿宋简体" w:eastAsia="方正仿宋简体" w:cs="方正仿宋简体"/>
          <w:sz w:val="26"/>
          <w:szCs w:val="26"/>
        </w:rPr>
        <w:t xml:space="preserve"> 闲置且不便调剂使用的党政机关办公用房，机关事务管理部门可以通过公共资源交易平台统一招租或者按照有关规定协议出租，租金收益按照非税收入有关规定管理。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党政机关如有需要，应当及时收回出租的办公用房，统筹调剂使用。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党政机关办公用房出租应当按照资产管理权限和程序办理。使用单位不得擅自出租办公用房。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第三十九条</w:t>
      </w:r>
      <w:r>
        <w:rPr>
          <w:rFonts w:hint="eastAsia" w:ascii="方正仿宋简体" w:hAnsi="方正仿宋简体" w:eastAsia="方正仿宋简体" w:cs="方正仿宋简体"/>
          <w:sz w:val="26"/>
          <w:szCs w:val="26"/>
        </w:rPr>
        <w:t xml:space="preserve"> 闲置办公用房无法通过调剂使用、转换用途、置换、出租等方式处置利用的，机关事务管理部门报财政部门批准后，可以通过公共资源交易平台依法公开拍卖，拍卖收益按照非税收入有关规定管理。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党政机关办公用房确需拆除的，由使用单位提出申请，经机关事务管理部门批准后组织实施，并报财政部门办理资产核销手续。</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第七章 物业管理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第四十条</w:t>
      </w:r>
      <w:r>
        <w:rPr>
          <w:rFonts w:hint="eastAsia" w:ascii="方正仿宋简体" w:hAnsi="方正仿宋简体" w:eastAsia="方正仿宋简体" w:cs="方正仿宋简体"/>
          <w:sz w:val="26"/>
          <w:szCs w:val="26"/>
        </w:rPr>
        <w:t xml:space="preserve"> 办公用房物业管理包括办公用房及设备设施的日常维护、保养，办公楼（区）的安保、保洁和绿化等公共性服务，代收代缴等公众代办服务和机关所要求的特约服务等。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第四十一条</w:t>
      </w:r>
      <w:r>
        <w:rPr>
          <w:rFonts w:hint="eastAsia" w:ascii="方正仿宋简体" w:hAnsi="方正仿宋简体" w:eastAsia="方正仿宋简体" w:cs="方正仿宋简体"/>
          <w:sz w:val="26"/>
          <w:szCs w:val="26"/>
        </w:rPr>
        <w:t xml:space="preserve"> 机关事务管理部门会同有关部门，按照经济、适度的原则，制定和完善本级党政机关办公用房物业服务标准和相关管理制度，对办公用房物业管理工作进行指导。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第四十二条</w:t>
      </w:r>
      <w:r>
        <w:rPr>
          <w:rFonts w:hint="eastAsia" w:ascii="方正仿宋简体" w:hAnsi="方正仿宋简体" w:eastAsia="方正仿宋简体" w:cs="方正仿宋简体"/>
          <w:sz w:val="26"/>
          <w:szCs w:val="26"/>
        </w:rPr>
        <w:t xml:space="preserve"> 建立健全政府向社会购买物业服务机制。除安全或者保密等有特殊要求的，党政机关办公用房物业服务应当通过向社会购买的方式，按照政府采购规定进行购买，逐步实现物业服务社会化、专业化，积极推进统一物业管理服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第四十三条</w:t>
      </w:r>
      <w:r>
        <w:rPr>
          <w:rFonts w:hint="eastAsia" w:ascii="方正仿宋简体" w:hAnsi="方正仿宋简体" w:eastAsia="方正仿宋简体" w:cs="方正仿宋简体"/>
          <w:sz w:val="26"/>
          <w:szCs w:val="26"/>
        </w:rPr>
        <w:t xml:space="preserve"> 党政机关办公用房使用单位、办公楼（区）集中统一管理单位负责党政机关办公用房物业服务日常管理，应当制定办公楼（区）物业服务管理细则，对物业服务企业履约情况进行日常监管。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第四十四条</w:t>
      </w:r>
      <w:r>
        <w:rPr>
          <w:rFonts w:hint="eastAsia" w:ascii="方正仿宋简体" w:hAnsi="方正仿宋简体" w:eastAsia="方正仿宋简体" w:cs="方正仿宋简体"/>
          <w:sz w:val="26"/>
          <w:szCs w:val="26"/>
        </w:rPr>
        <w:t xml:space="preserve"> 党政机关办公用房使用单位或者办公楼（区）集中统一管理单位应当严格执行党政机关办公用房物业服务标准和管理制度，依据规定的物业服务标准编制经费预算，所需经费通过部门预算安排。</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第八章 监督问责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第四十五条</w:t>
      </w:r>
      <w:r>
        <w:rPr>
          <w:rFonts w:hint="eastAsia" w:ascii="方正仿宋简体" w:hAnsi="方正仿宋简体" w:eastAsia="方正仿宋简体" w:cs="方正仿宋简体"/>
          <w:sz w:val="26"/>
          <w:szCs w:val="26"/>
        </w:rPr>
        <w:t xml:space="preserve"> 党政机关办公用房使用单位应当切实履行办公用房使用管理的主体责任，建立健全本单位内部使用管理制度，加强监督检查和责任追究，及时发现和纠正违规问题。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党政机关办公用房有关管理部门应当根据职责分工，加强办公用房监管，严格履行相关管理程序，对使用单位的办公用房违规管理使用问题及时按照规定移交有关部门和单位查处。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纪检监察机关应当及时受理群众举报和有关部门移送的办公用房管理案件线索，严肃查处违规违纪问题。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第四十六条</w:t>
      </w:r>
      <w:r>
        <w:rPr>
          <w:rFonts w:hint="eastAsia" w:ascii="方正仿宋简体" w:hAnsi="方正仿宋简体" w:eastAsia="方正仿宋简体" w:cs="方正仿宋简体"/>
          <w:sz w:val="26"/>
          <w:szCs w:val="26"/>
        </w:rPr>
        <w:t xml:space="preserve"> 建立健全党政机关办公用房巡检考核制度。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县级以上机关事务管理、发展改革、财政部门会同有关部门，定期对本级党政机关（含所属垂直管理机构、派出机构）办公用房使用情况以及下级党政机关办公用房管理情况进行专项联合巡检，及时发现和纠正违规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办公用房专项巡检应当与党风廉政建设责任制检查考核、政府绩效考核以及党政领导班子和领导干部年度考核相结合，巡检考核结果作为干部管理监督、选拔任用的依据。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第四十七条</w:t>
      </w:r>
      <w:r>
        <w:rPr>
          <w:rFonts w:hint="eastAsia" w:ascii="方正仿宋简体" w:hAnsi="方正仿宋简体" w:eastAsia="方正仿宋简体" w:cs="方正仿宋简体"/>
          <w:sz w:val="26"/>
          <w:szCs w:val="26"/>
        </w:rPr>
        <w:t xml:space="preserve"> 建立健全党政机关办公用房管理信息公开制度。除依照法律法规和有关要求需要保密的内容和事项外，办公用房建设、使用、维修、处置利用、运行费用支出等情况，应当在政府门户网站等公共平台定期公开，主动接受社会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第四十八条</w:t>
      </w:r>
      <w:r>
        <w:rPr>
          <w:rFonts w:hint="eastAsia" w:ascii="方正仿宋简体" w:hAnsi="方正仿宋简体" w:eastAsia="方正仿宋简体" w:cs="方正仿宋简体"/>
          <w:sz w:val="26"/>
          <w:szCs w:val="26"/>
        </w:rPr>
        <w:t xml:space="preserve"> 建立健全党政机关办公用房管理责任追究制度，对有令不行、有禁不止的，依照有关规定严肃追究相关人员责任。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管理部门有下列情形之一的，依纪依法追究相关人员责任：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（一）违规审批项目或者安排投资计划、预算的；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（二）不按照规定履行调剂、置换、租用、建设等审批程序的；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（三）为使用单位超标准配置办公用房的；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（四）不按照规定处置办公用房的；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（五）办公用房管理信息统计报送中瞒报、漏报的；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（六）对发现的违规问题不及时处理的;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（七）有其他违反办公用房管理规定或者失职渎职情形的。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使用单位有下列情形之一的，依纪依法追究相关人员责任：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（一）擅自将办公用房权属登记至本单位或者所属单位名下，或者不配合办理权属登记的；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（二）未经批准建设或者大中修办公用房的；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（三）不按照规定腾退移交办公用房的；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（四）未经批准租用、借用办公用房的；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（五）擅自改变办公用房使用功能或者处置办公用房的；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（六）擅自安排企事业单位、社会组织等使用机关办公用房的；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（七）为工作人员超标准配备办公用房，或者未经批准配备两处以上办公用房的；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（八）有其他违反办公用房管理规定情形的。</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第九章 附则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第四十九条</w:t>
      </w:r>
      <w:r>
        <w:rPr>
          <w:rFonts w:hint="eastAsia" w:ascii="方正仿宋简体" w:hAnsi="方正仿宋简体" w:eastAsia="方正仿宋简体" w:cs="方正仿宋简体"/>
          <w:sz w:val="26"/>
          <w:szCs w:val="26"/>
        </w:rPr>
        <w:t xml:space="preserve"> 党政机关技术业务用房在权属管理、维修审批、处置利用等方面，按照本办法执行。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党政机关本级的技术业务用房以及机关办公区内的技术业务用房，权属统一登记至本级机关事务管理部门名下，从严控制使用范围和用途，原则上不得调整用作办公用房。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党政机关本级的技术业务用房建设项目以及机关办公区内的技术业务用房建设项目，应当严格按照规定履行审批程序，项目申报前由机关事务管理部门出具土地、人防等审查意见。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第五十条</w:t>
      </w:r>
      <w:r>
        <w:rPr>
          <w:rFonts w:hint="eastAsia" w:ascii="方正仿宋简体" w:hAnsi="方正仿宋简体" w:eastAsia="方正仿宋简体" w:cs="方正仿宋简体"/>
          <w:sz w:val="26"/>
          <w:szCs w:val="26"/>
        </w:rPr>
        <w:t xml:space="preserve"> 各市及省级机关各部门（单位）应当根据本办法，结合实际制定具体实施办法。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第五十一条</w:t>
      </w:r>
      <w:r>
        <w:rPr>
          <w:rFonts w:hint="eastAsia" w:ascii="方正仿宋简体" w:hAnsi="方正仿宋简体" w:eastAsia="方正仿宋简体" w:cs="方正仿宋简体"/>
          <w:sz w:val="26"/>
          <w:szCs w:val="26"/>
        </w:rPr>
        <w:t xml:space="preserve"> 各民主党派机关办公用房管理适用本办法。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不参照公务员法管理的事业单位办公用房管理办法，按照分类管理的原则，另行制定。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第五十二条</w:t>
      </w:r>
      <w:r>
        <w:rPr>
          <w:rFonts w:hint="eastAsia" w:ascii="方正仿宋简体" w:hAnsi="方正仿宋简体" w:eastAsia="方正仿宋简体" w:cs="方正仿宋简体"/>
          <w:sz w:val="26"/>
          <w:szCs w:val="26"/>
        </w:rPr>
        <w:t xml:space="preserve"> 本办法具体解释工作由省委办公厅、省政府办公厅会同省机关事务局、省发展改革委、省财政厅承担。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第五十三条</w:t>
      </w:r>
      <w:r>
        <w:rPr>
          <w:rFonts w:hint="eastAsia" w:ascii="方正仿宋简体" w:hAnsi="方正仿宋简体" w:eastAsia="方正仿宋简体" w:cs="方正仿宋简体"/>
          <w:sz w:val="26"/>
          <w:szCs w:val="26"/>
        </w:rPr>
        <w:t xml:space="preserve"> 本办法自2018年9月19日起施行。其他有关党政机关办公用房管理的规定，凡与本办法不一致的，按照本办法执行。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山东省党政机关公务用车管理办法</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第一章总则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第一条</w:t>
      </w:r>
      <w:r>
        <w:rPr>
          <w:rFonts w:hint="eastAsia" w:ascii="方正仿宋简体" w:hAnsi="方正仿宋简体" w:eastAsia="方正仿宋简体" w:cs="方正仿宋简体"/>
          <w:sz w:val="26"/>
          <w:szCs w:val="26"/>
        </w:rPr>
        <w:t xml:space="preserve"> 为了进一步规范党政机关公务用车管理，有效保障公务活动，促进党风廉政建设和节约型机关建设，根据《党政机关公务用车管理办法》《山东省实施〈党政机关厉行节约反对浪费条例〉办法》《山东省机关事务管理办法》等有关规定，结合我省实际，制定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第二条 </w:t>
      </w:r>
      <w:r>
        <w:rPr>
          <w:rFonts w:hint="eastAsia" w:ascii="方正仿宋简体" w:hAnsi="方正仿宋简体" w:eastAsia="方正仿宋简体" w:cs="方正仿宋简体"/>
          <w:sz w:val="26"/>
          <w:szCs w:val="26"/>
        </w:rPr>
        <w:t>本办法适用于党的机关、人大机关、行政机关、政协机关、监察机关、审判机关、检察机关，以及工会、共青团、妇联等人民团体和参照公务员法管理的事业单位。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第三条</w:t>
      </w:r>
      <w:r>
        <w:rPr>
          <w:rFonts w:hint="eastAsia" w:ascii="方正仿宋简体" w:hAnsi="方正仿宋简体" w:eastAsia="方正仿宋简体" w:cs="方正仿宋简体"/>
          <w:sz w:val="26"/>
          <w:szCs w:val="26"/>
        </w:rPr>
        <w:t xml:space="preserve"> 本办法所称公务用车，是指党政机关配备的用于定向保障公务活动的机动车辆，包括机要通信用车、应急保障用车、执法执勤用车、特种专业技术用车以及其他按照规定配备的公务用车。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机要通信用车是指用于传递、运送机要文件和涉密载体的机动车辆。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应急保障用车是指用于处理突发事件、抢险救灾或者其他紧急公务的机动车辆。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执法执勤用车是指中央批准的执法执勤部门（系统）用于一线执法执勤公务的机动车辆。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特种专业技术用车是指固定搭载专业技术设备、用于执行特殊工作任务的机动车辆。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第四条</w:t>
      </w:r>
      <w:r>
        <w:rPr>
          <w:rFonts w:hint="eastAsia" w:ascii="方正仿宋简体" w:hAnsi="方正仿宋简体" w:eastAsia="方正仿宋简体" w:cs="方正仿宋简体"/>
          <w:sz w:val="26"/>
          <w:szCs w:val="26"/>
        </w:rPr>
        <w:t xml:space="preserve"> 党政机关公务用车管理遵循统一管理、定向保障、经济适用、节能环保的原则。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第五条</w:t>
      </w:r>
      <w:r>
        <w:rPr>
          <w:rFonts w:hint="eastAsia" w:ascii="方正仿宋简体" w:hAnsi="方正仿宋简体" w:eastAsia="方正仿宋简体" w:cs="方正仿宋简体"/>
          <w:sz w:val="26"/>
          <w:szCs w:val="26"/>
        </w:rPr>
        <w:t xml:space="preserve"> 党政机关公务用车实行统一制度规范、分级分类管理。党政机关公务用车主管部门负责本级党政机关公务用车管理工作，根据职责实行统一编制、统一标准、统一购置经费、统一采购配备、统一处置管理；指导监督下级党政机关公务用车管理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机关事务局是全省党政机关公务用车主管部门，具体负责省级党政机关公务用车管理工作，指导监督各市公务用车管理工作；各市机关事务管理部门负责本级党政机关公务用车管理工作，指导监督所辖县（市、区）公务用车管理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第六条</w:t>
      </w:r>
      <w:r>
        <w:rPr>
          <w:rFonts w:hint="eastAsia" w:ascii="方正仿宋简体" w:hAnsi="方正仿宋简体" w:eastAsia="方正仿宋简体" w:cs="方正仿宋简体"/>
          <w:sz w:val="26"/>
          <w:szCs w:val="26"/>
        </w:rPr>
        <w:t xml:space="preserve"> 公务用车主管部门应当推进公务用车标准化管理，健全完善公务用车编制、配备更新、使用和处置管理等标准体系。</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第二章 编制管理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第七条</w:t>
      </w:r>
      <w:r>
        <w:rPr>
          <w:rFonts w:hint="eastAsia" w:ascii="方正仿宋简体" w:hAnsi="方正仿宋简体" w:eastAsia="方正仿宋简体" w:cs="方正仿宋简体"/>
          <w:sz w:val="26"/>
          <w:szCs w:val="26"/>
        </w:rPr>
        <w:t xml:space="preserve"> 党政机关公务用车实行编制管理。车辆编制根据机构设置、人员编制和工作需要等因素确定。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机要通信用车、应急保障用车和其他按照规定配备的公务用车编制由公务用车主管部门会同有关部门确定。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执法执勤用车、特种专业技术用车编制由财政部门会同有关部门确定，并送公务用车主管部门备案。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第八条 </w:t>
      </w:r>
      <w:r>
        <w:rPr>
          <w:rFonts w:hint="eastAsia" w:ascii="方正仿宋简体" w:hAnsi="方正仿宋简体" w:eastAsia="方正仿宋简体" w:cs="方正仿宋简体"/>
          <w:sz w:val="26"/>
          <w:szCs w:val="26"/>
        </w:rPr>
        <w:t>公务用车编制按照单位核定。一个机构两块牌子的单位，按照一个单位核定车辆编制。临时机构，不核定车辆编制。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第九条</w:t>
      </w:r>
      <w:r>
        <w:rPr>
          <w:rFonts w:hint="eastAsia" w:ascii="方正仿宋简体" w:hAnsi="方正仿宋简体" w:eastAsia="方正仿宋简体" w:cs="方正仿宋简体"/>
          <w:sz w:val="26"/>
          <w:szCs w:val="26"/>
        </w:rPr>
        <w:t xml:space="preserve"> 公务用车编制实行动态管理，新设立及整建制调整或撤销单位的车辆编制，即时核定。党政机关确需调整车辆编制的，应当根据车辆使用性质向公务用车主管部门或财政部门提出申请，经批准后予以重新核定。</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第三章 标准管理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 xml:space="preserve">第十条 </w:t>
      </w:r>
      <w:r>
        <w:rPr>
          <w:rFonts w:hint="eastAsia" w:ascii="方正仿宋简体" w:hAnsi="方正仿宋简体" w:eastAsia="方正仿宋简体" w:cs="方正仿宋简体"/>
          <w:sz w:val="26"/>
          <w:szCs w:val="26"/>
        </w:rPr>
        <w:t>党政机关配备公务用车应当严格执行以下标准：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（一）机要通信用车配备价格12万元以内、排气量16升（含）以下的轿车或者其他小型客车。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应急保障用车和其他按照规定配备的公务用车配备价格18万元以内、排气量18升（含）以下的轿车或者其他小型客车。确因情况特殊，可以适当配备价格25万元以内、排气量30升（含）以下的其他小型客车、中型客车或者价格45万元以内的大型客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执法执勤用车配备价格12万元以内、排气量16升（含）以下的轿车或者其他小型客车，因工作需要可以配备价格18万元以内、排气量18升（含）以下的轿车或者其他小型客车。确因情况特殊，可以适当配备价格25万元以内、排气量30升（含）以下的其他小型客车、中型客车或者价格45万元以内的大型客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（四）特种专业技术用车配备标准由有关部门会同财政部门按照保障工作需要、厉行节约的原则确定。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公务用车配备新能源轿车的，价格不得超过18万元。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上述配备标准应当根据公务保障需要、汽车行业技术发展、市场价格变化等因素适时调整。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第十一条</w:t>
      </w:r>
      <w:r>
        <w:rPr>
          <w:rFonts w:hint="eastAsia" w:ascii="方正仿宋简体" w:hAnsi="方正仿宋简体" w:eastAsia="方正仿宋简体" w:cs="方正仿宋简体"/>
          <w:sz w:val="26"/>
          <w:szCs w:val="26"/>
        </w:rPr>
        <w:t xml:space="preserve"> 严格控制执法执勤用车的配备范围、编制和标准。执法执勤用车配备应当严格限定在一线执法执勤岗位。</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第四章 配备管理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第十二条</w:t>
      </w:r>
      <w:r>
        <w:rPr>
          <w:rFonts w:hint="eastAsia" w:ascii="方正仿宋简体" w:hAnsi="方正仿宋简体" w:eastAsia="方正仿宋简体" w:cs="方正仿宋简体"/>
          <w:sz w:val="26"/>
          <w:szCs w:val="26"/>
        </w:rPr>
        <w:t xml:space="preserve"> 党政机关应当配备使用国产汽车，带头使用新能源汽车，按照规定逐步扩大新能源汽车配备比例，实现新能源汽车全覆盖。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省级党政机关配备公务用车，除有特殊工作要求外，应当全部配备新能源汽车。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第十三条</w:t>
      </w:r>
      <w:r>
        <w:rPr>
          <w:rFonts w:hint="eastAsia" w:ascii="方正仿宋简体" w:hAnsi="方正仿宋简体" w:eastAsia="方正仿宋简体" w:cs="方正仿宋简体"/>
          <w:sz w:val="26"/>
          <w:szCs w:val="26"/>
        </w:rPr>
        <w:t xml:space="preserve"> 党政机关确因工作需要超出规定标准配备公务用车的，必须报省机关事务局批准。市级及以下党政机关确需超标准配备车辆的，由各市机关事务管理部门核报省机关事务局批准。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党政机关原则上不配备越野车。确因工作需要，按照前款程序报批后，可以适当配备国产越野车。越野车不得作为领导干部固定用车。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第十四条</w:t>
      </w:r>
      <w:r>
        <w:rPr>
          <w:rFonts w:hint="eastAsia" w:ascii="方正仿宋简体" w:hAnsi="方正仿宋简体" w:eastAsia="方正仿宋简体" w:cs="方正仿宋简体"/>
          <w:sz w:val="26"/>
          <w:szCs w:val="26"/>
        </w:rPr>
        <w:t xml:space="preserve"> 党政机关新购车辆必须持公务用车主管部门出具的相关审批材料，到公安交通管理部门办理注册登记，并将注册信息报公务用车主管部门备案。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除涉及国家安全、侦查办案等有保密要求的特殊工作用车外，党政机关公务用车产权注册登记所有人应当为本机关法人，不得将公务用车登记在下属单位、企业或者个人名下。</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第五章 经费管理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第十五条</w:t>
      </w:r>
      <w:r>
        <w:rPr>
          <w:rFonts w:hint="eastAsia" w:ascii="方正仿宋简体" w:hAnsi="方正仿宋简体" w:eastAsia="方正仿宋简体" w:cs="方正仿宋简体"/>
          <w:sz w:val="26"/>
          <w:szCs w:val="26"/>
        </w:rPr>
        <w:t xml:space="preserve"> 公务用车主管部门根据公务用车配备更新标准和现状，编制党政机关年度公务用车配备更新计划。</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第十六条</w:t>
      </w:r>
      <w:r>
        <w:rPr>
          <w:rFonts w:hint="eastAsia" w:ascii="方正仿宋简体" w:hAnsi="方正仿宋简体" w:eastAsia="方正仿宋简体" w:cs="方正仿宋简体"/>
          <w:sz w:val="26"/>
          <w:szCs w:val="26"/>
        </w:rPr>
        <w:t xml:space="preserve"> 财政部门根据年度公务用车配备更新计划，按照预算管理有关规定统筹安排购置经费，列入公务用车主管部门预算。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第十七条</w:t>
      </w:r>
      <w:r>
        <w:rPr>
          <w:rFonts w:hint="eastAsia" w:ascii="方正仿宋简体" w:hAnsi="方正仿宋简体" w:eastAsia="方正仿宋简体" w:cs="方正仿宋简体"/>
          <w:sz w:val="26"/>
          <w:szCs w:val="26"/>
        </w:rPr>
        <w:t xml:space="preserve"> 财政部门会同公务用车主管部门制定公务用车运行费用定额标准，统筹安排公务用车运行费用，列入党政机关部门预算。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第十八条</w:t>
      </w:r>
      <w:r>
        <w:rPr>
          <w:rFonts w:hint="eastAsia" w:ascii="方正仿宋简体" w:hAnsi="方正仿宋简体" w:eastAsia="方正仿宋简体" w:cs="方正仿宋简体"/>
          <w:sz w:val="26"/>
          <w:szCs w:val="26"/>
        </w:rPr>
        <w:t xml:space="preserve"> 公务用车主管部门按照政府采购法律法规和国家有关政策规定，统一组织实施公务用车集中采购。</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第六章 使用管理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第十九条</w:t>
      </w:r>
      <w:r>
        <w:rPr>
          <w:rFonts w:hint="eastAsia" w:ascii="方正仿宋简体" w:hAnsi="方正仿宋简体" w:eastAsia="方正仿宋简体" w:cs="方正仿宋简体"/>
          <w:sz w:val="26"/>
          <w:szCs w:val="26"/>
        </w:rPr>
        <w:t xml:space="preserve"> 党政机关应当加强公务用车使用管理，严格按照规定使用公务用车，严禁公车私用、私车公养，不得既领取公务交通补贴又违规使用公务用车。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第二十条</w:t>
      </w:r>
      <w:r>
        <w:rPr>
          <w:rFonts w:hint="eastAsia" w:ascii="方正仿宋简体" w:hAnsi="方正仿宋简体" w:eastAsia="方正仿宋简体" w:cs="方正仿宋简体"/>
          <w:sz w:val="26"/>
          <w:szCs w:val="26"/>
        </w:rPr>
        <w:t xml:space="preserve"> 建立全省公务用车管理平台，除涉及国家安全、侦查办案、特种专业技术用车等特殊需要的车辆外，将省、市、县各级党政机关的各类公务用车纳入平台集中管理，采用信息化手段统筹调度、高效使用，鼓励通过社会化专业机构提高平台管理运行效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第二十一条</w:t>
      </w:r>
      <w:r>
        <w:rPr>
          <w:rFonts w:hint="eastAsia" w:ascii="方正仿宋简体" w:hAnsi="方正仿宋简体" w:eastAsia="方正仿宋简体" w:cs="方正仿宋简体"/>
          <w:sz w:val="26"/>
          <w:szCs w:val="26"/>
        </w:rPr>
        <w:t xml:space="preserve"> 党政机关公务用车实行标识化管理。除涉及国家安全、侦查办案和其他有保密要求的特殊工作用车外，公务用车应当统一标识。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公务用车主管部门应当建立标识化管理台账，加强监督检查，健全完善标识化管理制度。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第二十二条</w:t>
      </w:r>
      <w:r>
        <w:rPr>
          <w:rFonts w:hint="eastAsia" w:ascii="方正仿宋简体" w:hAnsi="方正仿宋简体" w:eastAsia="方正仿宋简体" w:cs="方正仿宋简体"/>
          <w:sz w:val="26"/>
          <w:szCs w:val="26"/>
        </w:rPr>
        <w:t xml:space="preserve"> 党政机关应当建立公务用车管理台账，加强相关证照档案的保存和管理。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公务用车主管部门应当建立统一的公务用车管理信息系统，提高公务用车配备使用管理信息化水平。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第二十三条</w:t>
      </w:r>
      <w:r>
        <w:rPr>
          <w:rFonts w:hint="eastAsia" w:ascii="方正仿宋简体" w:hAnsi="方正仿宋简体" w:eastAsia="方正仿宋简体" w:cs="方正仿宋简体"/>
          <w:sz w:val="26"/>
          <w:szCs w:val="26"/>
        </w:rPr>
        <w:t xml:space="preserve"> 党政机关应当建立健全公务用车使用管理制度，严格执行，加强监督，降低运行成本。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严格公务用车使用时间、事由、地点、里程、油耗、费用等信息登记和公示制度。严格执行回单位或者其他指定地点停放制度，节假日期间除工作需要外应当封存停驶。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第二十四条</w:t>
      </w:r>
      <w:r>
        <w:rPr>
          <w:rFonts w:hint="eastAsia" w:ascii="方正仿宋简体" w:hAnsi="方正仿宋简体" w:eastAsia="方正仿宋简体" w:cs="方正仿宋简体"/>
          <w:sz w:val="26"/>
          <w:szCs w:val="26"/>
        </w:rPr>
        <w:t xml:space="preserve"> 实行公务用车保险、维修、加油政府集中采购和定点保险、定点维修、定点加油制度，健全公务用车油耗、运行费用单车核算和年度绩效评价制度。公务用车主管部门负责制定相关管理办法并组织实施。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第二十五条</w:t>
      </w:r>
      <w:r>
        <w:rPr>
          <w:rFonts w:hint="eastAsia" w:ascii="方正仿宋简体" w:hAnsi="方正仿宋简体" w:eastAsia="方正仿宋简体" w:cs="方正仿宋简体"/>
          <w:sz w:val="26"/>
          <w:szCs w:val="26"/>
        </w:rPr>
        <w:t xml:space="preserve"> 党政机关应当减少公务用车长途行驶，工作人员到外地办理公务，除特殊情况外，应当乘用公共交通工具。外事接待、会议和集体活动用车主要通过社会租赁方式解决。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第二十六条</w:t>
      </w:r>
      <w:r>
        <w:rPr>
          <w:rFonts w:hint="eastAsia" w:ascii="方正仿宋简体" w:hAnsi="方正仿宋简体" w:eastAsia="方正仿宋简体" w:cs="方正仿宋简体"/>
          <w:sz w:val="26"/>
          <w:szCs w:val="26"/>
        </w:rPr>
        <w:t xml:space="preserve"> 公务用车使用年限超过8年的可以更新；达到更新年限仍能继续使用的，应当继续使用。因安全等原因，确需提前更新的，应当严格履行审批手续。</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第七章 处置管理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第二十七条</w:t>
      </w:r>
      <w:r>
        <w:rPr>
          <w:rFonts w:hint="eastAsia" w:ascii="方正仿宋简体" w:hAnsi="方正仿宋简体" w:eastAsia="方正仿宋简体" w:cs="方正仿宋简体"/>
          <w:sz w:val="26"/>
          <w:szCs w:val="26"/>
        </w:rPr>
        <w:t xml:space="preserve"> 公务用车主管部门负责党政机关公务用车处置工作。公务用车处置应当遵循公开公平、集中统一、厉行节约的原则。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第二十八条</w:t>
      </w:r>
      <w:r>
        <w:rPr>
          <w:rFonts w:hint="eastAsia" w:ascii="方正仿宋简体" w:hAnsi="方正仿宋简体" w:eastAsia="方正仿宋简体" w:cs="方正仿宋简体"/>
          <w:sz w:val="26"/>
          <w:szCs w:val="26"/>
        </w:rPr>
        <w:t xml:space="preserve"> 公务用车按照规定更新后，根据车辆状况，可以采取调剂、拍卖、厂家回收、报废等方式规范处置旧车。处置收入按照非税收入有关规定管理。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第二十九条</w:t>
      </w:r>
      <w:r>
        <w:rPr>
          <w:rFonts w:hint="eastAsia" w:ascii="方正仿宋简体" w:hAnsi="方正仿宋简体" w:eastAsia="方正仿宋简体" w:cs="方正仿宋简体"/>
          <w:sz w:val="26"/>
          <w:szCs w:val="26"/>
        </w:rPr>
        <w:t xml:space="preserve"> 公务用车处置应当按照国有资产管理有关规定履行审批手续，并严格按照评估鉴定、核验手续、移交车辆、公开处置、收入上缴等程序进行处置。对调剂、拍卖车辆应当及时办理过户手续。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第三十条</w:t>
      </w:r>
      <w:r>
        <w:rPr>
          <w:rFonts w:hint="eastAsia" w:ascii="方正仿宋简体" w:hAnsi="方正仿宋简体" w:eastAsia="方正仿宋简体" w:cs="方正仿宋简体"/>
          <w:sz w:val="26"/>
          <w:szCs w:val="26"/>
        </w:rPr>
        <w:t xml:space="preserve"> 公务用车处置后，党政机关应当按照国有资产管理有关规定，办理资产核销或登记变更手续。</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第八章 监督问责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第三十一条</w:t>
      </w:r>
      <w:r>
        <w:rPr>
          <w:rFonts w:hint="eastAsia" w:ascii="方正仿宋简体" w:hAnsi="方正仿宋简体" w:eastAsia="方正仿宋简体" w:cs="方正仿宋简体"/>
          <w:sz w:val="26"/>
          <w:szCs w:val="26"/>
        </w:rPr>
        <w:t xml:space="preserve"> 党政机关应当建立公务用车配备更新和使用情况统计报告制度。省机关事务局负责统计汇总全省党政机关公务用车配备更新和使用情况。各市机关事务管理部门负责统计汇总本市各级党政机关公务用车配备更新和使用情况，定期报省机关事务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第三十二条</w:t>
      </w:r>
      <w:r>
        <w:rPr>
          <w:rFonts w:hint="eastAsia" w:ascii="方正仿宋简体" w:hAnsi="方正仿宋简体" w:eastAsia="方正仿宋简体" w:cs="方正仿宋简体"/>
          <w:sz w:val="26"/>
          <w:szCs w:val="26"/>
        </w:rPr>
        <w:t xml:space="preserve"> 党政机关应当严格执行公务用车配备使用管理各项规定，将公务用车配备更新、使用、处置和经费预算执行等情况纳入内部审计、政务公开和政务诚信建设范围，接受社会监督。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公务用车主管部门应当加强对党政机关公务用车配备更新、使用、处置等情况的监督检查，定期通报或者公示相关情况。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财政、审计部门应当加强对公务用车经费预算管理使用情况的监督检查，依法处理、督促整改违规问题，并将涉嫌违纪违法问题移送有关部门、单位查处。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公安交通管理部门应当根据公务用车主管部门需要，定期交换公务用车注册登记信息、使用状态等情况。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纪检监察机关应当及时受理群众举报和有关部门移送的公务用车管理问题线索，严肃查处违纪违法问题。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第三十三条</w:t>
      </w:r>
      <w:r>
        <w:rPr>
          <w:rFonts w:hint="eastAsia" w:ascii="方正仿宋简体" w:hAnsi="方正仿宋简体" w:eastAsia="方正仿宋简体" w:cs="方正仿宋简体"/>
          <w:sz w:val="26"/>
          <w:szCs w:val="26"/>
        </w:rPr>
        <w:t xml:space="preserve"> 公务用车主管部门有下列情形之一的，依纪依法追究相关人员责任：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（一）违规核定公务用车编制的；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（二）违规审批超编制、超标准配备公务用车的；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（三）违规审批未到年限更新公务用车的；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（四）违规安排公务用车经费预算的；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（五）有其他未按规定履行管理监督职责行为的。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第三十四条</w:t>
      </w:r>
      <w:r>
        <w:rPr>
          <w:rFonts w:hint="eastAsia" w:ascii="方正仿宋简体" w:hAnsi="方正仿宋简体" w:eastAsia="方正仿宋简体" w:cs="方正仿宋简体"/>
          <w:sz w:val="26"/>
          <w:szCs w:val="26"/>
        </w:rPr>
        <w:t xml:space="preserve"> 党政机关有下列情形之一的，依纪依法追究相关人员责任：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（一）违规超编制、超标准配备公务用车的；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（二）违反规定将公务用车登记在下属单位、企业或者个人名下的；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（三）公车私用、私车公养，或者既领取公务交通补贴又违规使用公务用车的；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（四）换用、借用、占用下属单位或者其他单位和个人的车辆，或者擅自接受企事业单位和个人赠送车辆的；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（五）挪用或者固定给个人使用执法执勤、机要通信等公务用车的；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（六）为公务用车增加高档配置或者豪华内饰的；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（七）在车辆维修等费用中虚列名目或者夹带其他费用，为非本单位车辆报销运行维护费用的；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（八）违规处置公务用车的；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（九）有其他违反公务用车配备使用管理规定行为的。</w:t>
      </w:r>
    </w:p>
    <w:p>
      <w:pPr>
        <w:widowControl/>
        <w:wordWrap w:val="0"/>
        <w:spacing w:after="136" w:line="400" w:lineRule="exact"/>
        <w:ind w:firstLine="520" w:firstLineChars="200"/>
        <w:jc w:val="center"/>
        <w:rPr>
          <w:rFonts w:ascii="黑体" w:hAnsi="黑体" w:eastAsia="黑体" w:cs="黑体"/>
          <w:kern w:val="0"/>
          <w:sz w:val="26"/>
          <w:szCs w:val="26"/>
          <w:lang w:bidi="zh-CN"/>
        </w:rPr>
      </w:pPr>
      <w:r>
        <w:rPr>
          <w:rFonts w:hint="eastAsia" w:ascii="黑体" w:hAnsi="黑体" w:eastAsia="黑体" w:cs="黑体"/>
          <w:kern w:val="0"/>
          <w:sz w:val="26"/>
          <w:szCs w:val="26"/>
          <w:lang w:bidi="zh-CN"/>
        </w:rPr>
        <w:t>第九章 附则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第三十五条</w:t>
      </w:r>
      <w:r>
        <w:rPr>
          <w:rFonts w:hint="eastAsia" w:ascii="方正仿宋简体" w:hAnsi="方正仿宋简体" w:eastAsia="方正仿宋简体" w:cs="方正仿宋简体"/>
          <w:sz w:val="26"/>
          <w:szCs w:val="26"/>
        </w:rPr>
        <w:t xml:space="preserve"> 本办法所称小型客车、中型客车、大型客车等，依据中华人民共和国公共安全行业标准GA802－2014《机动车类型术语和定义》界定。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第三十六条</w:t>
      </w:r>
      <w:r>
        <w:rPr>
          <w:rFonts w:hint="eastAsia" w:ascii="方正仿宋简体" w:hAnsi="方正仿宋简体" w:eastAsia="方正仿宋简体" w:cs="方正仿宋简体"/>
          <w:sz w:val="26"/>
          <w:szCs w:val="26"/>
        </w:rPr>
        <w:t xml:space="preserve"> 省级党政机关所属垂直管理机构、派出机构公务用车由行政主管部门依照本办法进行管理。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各民主党派机关公务用车管理适用本办法。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不参照公务员法管理的事业单位公务用车，按照本办法的原则管理。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第三十七条</w:t>
      </w:r>
      <w:r>
        <w:rPr>
          <w:rFonts w:hint="eastAsia" w:ascii="方正仿宋简体" w:hAnsi="方正仿宋简体" w:eastAsia="方正仿宋简体" w:cs="方正仿宋简体"/>
          <w:sz w:val="26"/>
          <w:szCs w:val="26"/>
        </w:rPr>
        <w:t xml:space="preserve"> 各市及省级机关各部门（单位）应当根据本办法，结合实际制定具体管理办法。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楷体" w:hAnsi="楷体" w:eastAsia="楷体" w:cs="楷体"/>
          <w:sz w:val="26"/>
          <w:szCs w:val="26"/>
        </w:rPr>
        <w:t>第三十八条</w:t>
      </w:r>
      <w:r>
        <w:rPr>
          <w:rFonts w:hint="eastAsia" w:ascii="方正仿宋简体" w:hAnsi="方正仿宋简体" w:eastAsia="方正仿宋简体" w:cs="方正仿宋简体"/>
          <w:sz w:val="26"/>
          <w:szCs w:val="26"/>
        </w:rPr>
        <w:t xml:space="preserve"> 本办法具体解释工作由省委办公厅、省政府办公厅会同省机关事务局等部门承担。</w:t>
      </w:r>
    </w:p>
    <w:p>
      <w:pPr>
        <w:spacing w:line="400" w:lineRule="exact"/>
        <w:ind w:firstLine="520" w:firstLineChars="200"/>
        <w:jc w:val="left"/>
        <w:rPr>
          <w:rFonts w:ascii="方正仿宋简体" w:hAnsi="方正仿宋简体" w:eastAsia="方正仿宋简体" w:cs="方正仿宋简体"/>
          <w:color w:val="FF0000"/>
          <w:sz w:val="26"/>
          <w:szCs w:val="26"/>
        </w:rPr>
      </w:pPr>
      <w:r>
        <w:rPr>
          <w:rFonts w:hint="eastAsia" w:ascii="楷体" w:hAnsi="楷体" w:eastAsia="楷体" w:cs="楷体"/>
          <w:sz w:val="26"/>
          <w:szCs w:val="26"/>
        </w:rPr>
        <w:t>第三十九条</w:t>
      </w:r>
      <w:r>
        <w:rPr>
          <w:rFonts w:hint="eastAsia" w:ascii="方正仿宋简体" w:hAnsi="方正仿宋简体" w:eastAsia="方正仿宋简体" w:cs="方正仿宋简体"/>
          <w:sz w:val="26"/>
          <w:szCs w:val="26"/>
        </w:rPr>
        <w:t xml:space="preserve"> 本办法自2018年9月19日起施行。省委办公厅、省政府办公厅2012年3月1日印发的《山东省党政机关公务用车配备使用管理办法》同时废止</w:t>
      </w:r>
      <w:r>
        <w:rPr>
          <w:rFonts w:hint="eastAsia" w:ascii="方正仿宋简体" w:hAnsi="方正仿宋简体" w:eastAsia="方正仿宋简体" w:cs="方正仿宋简体"/>
          <w:color w:val="FF0000"/>
          <w:sz w:val="26"/>
          <w:szCs w:val="26"/>
        </w:rPr>
        <w:t>。</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00" w:firstLineChars="150"/>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(七)经营性资产管理(国有资产有偿使用管理)</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pStyle w:val="4"/>
        <w:ind w:firstLine="800" w:firstLineChars="200"/>
        <w:rPr>
          <w:rFonts w:hAnsiTheme="minorHAnsi" w:cstheme="minorBidi"/>
          <w:bCs w:val="0"/>
          <w:sz w:val="40"/>
          <w:szCs w:val="40"/>
          <w:lang w:val="en-US" w:bidi="ar-SA"/>
        </w:rPr>
      </w:pPr>
      <w:r>
        <w:rPr>
          <w:rFonts w:hint="eastAsia" w:hAnsiTheme="minorHAnsi" w:cstheme="minorBidi"/>
          <w:bCs w:val="0"/>
          <w:sz w:val="40"/>
          <w:szCs w:val="40"/>
          <w:lang w:val="en-US" w:bidi="ar-SA"/>
        </w:rPr>
        <w:t>关于制发山东省行政业资产租赁有关合同示范文本的通知</w:t>
      </w:r>
    </w:p>
    <w:p>
      <w:pPr>
        <w:jc w:val="center"/>
        <w:rPr>
          <w:sz w:val="26"/>
          <w:szCs w:val="26"/>
        </w:rPr>
      </w:pPr>
      <w:r>
        <w:rPr>
          <w:rFonts w:hint="eastAsia"/>
          <w:bCs/>
          <w:sz w:val="26"/>
          <w:szCs w:val="26"/>
        </w:rPr>
        <w:t>鲁财资〔2011〕35号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各市、县（市、区）财政局、工商局，省直各部门，有关省属企业集团：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规范行政事业资产租赁行为，维护国有资产安全完整，确保国有资产合法权益，根据《中华人民共和国合同法》、《山东省行政事业单位国有资产有偿使用管理暂行办法》（鲁财资〔2010〕50号）等国家和省有关规定，我们制定了《山东省行政事业单位国有房屋租赁合同（式样）》、《山东省行政事业单位土地使用权租赁合同（式样）》和《山东省行政事业单位仪器设备租赁合同（式样）》（以下统称《合同示范文本》），现予制发，并提出如下要求，请一并贯彻执行。执行中如有问题，请及时向我们反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行政事业单位资产租赁，应按照《山东省行政事业单位国有资产有偿使用管理暂行办法》规定，报经财政部门或主管部门批准。经财政部门或主管部门批准后，方可依据批准文件和《合同示范文本》与承租方签订正式租赁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二、《合同示范文本》的内容是租赁合同中必备的，有关行政事业单位与承租方签订正式合同时，如有特殊约定事项，可以根据租赁事项需要补充相应条款。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三、行政事业单位应按规定将正式签订的租赁合同报同级财政部门及其他有关部门备案。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四、《合同示范文本》自本通知下发之日起启用。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请转知本级行政事业单位，认真贯彻执行。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附件：1、山东省行政事业单位国有房屋租赁合同（式样）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2、山东省行政事业单位土地使用权租赁合同（式样）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3、山东省行政事业单位仪器设备租赁合同（式样）</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4810" w:firstLineChars="18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二○一一年五月十六日</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附件1：</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center"/>
        <w:rPr>
          <w:rFonts w:ascii="方正小标宋简体" w:hAnsi="方正仿宋简体" w:eastAsia="方正小标宋简体" w:cs="方正仿宋简体"/>
          <w:sz w:val="26"/>
          <w:szCs w:val="26"/>
        </w:rPr>
      </w:pPr>
      <w:r>
        <w:rPr>
          <w:rFonts w:hint="eastAsia" w:ascii="方正小标宋简体" w:hAnsi="方正仿宋简体" w:eastAsia="方正小标宋简体" w:cs="方正仿宋简体"/>
          <w:sz w:val="26"/>
          <w:szCs w:val="26"/>
        </w:rPr>
        <w:t>山东省行政事业单位国有房屋租赁合同（式样）</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合同编号: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签订地点：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签订时间： 年月日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出租方（甲方）：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承租方（乙方）：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依据《中华人民共和国合同法》、《山东省行政事业单位国有资产有偿使用管理暂行办法》（鲁财资〔2010〕50号）及有关法律、法规和规章制度，甲乙双方在平等、自愿的基础上，就房屋租赁的有关事宜达成协议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第一条 房屋基本情况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该房屋坐落于[]市[]县（市、区）[]路[]号，（[]幢[]层[]室）。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该房屋：建筑面积共计[]平方米，使用面积共计[]平方米。房屋所有权证号（或房屋所有权凭证）[]。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装修状况：[]。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其他条件：[]。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甲方承诺出租该房屋的行为已经有权机构批准，且该房屋产权清晰，未设定抵押、担保，未涉及法律诉讼。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第二条租赁期限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房屋租赁期限自[]年[]月[]日至[]年[]月[]日。（提示：租赁期限不得超过10年，且不得超出房屋权利证书载明的有效期限）。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租赁合同期满，乙方应如期交还所租赁房屋；乙方逾期不交还的，甲方有权收回所租赁房屋。甲方如需继续出租，同等条件下，乙方享有优先承租权，经原批准机构批准，双方另行签订租赁合同。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第三条 租金、租金支付期限及方式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（一）租金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*（租赁期限不超过3年的）租金标准为每日每平方米[]元（提示：符合有权机构批准文件的要求，注明是建筑面积还是使用面积）,租金总额为：人民币（大写）[]元。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*（租赁期限超过3年的，每2年为一个档期确定租金标准）租金总额为[]元：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第1、2年，租金标准为每日每平方米[]元，租金额为人民币[]元；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第3、4年，租金标准为每日每平方米[]元，租金额为人民币[]元；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第5、6年，租金标准为每日每平方米[]元，租金额为人民币[]元；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第7、8年，租金标准为每日每平方米[]元，租金额为人民币[]元；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第9、10年，租金标准为每日每平方米[]元，租金额为人民币[]元。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（二）支付期限：[]（提示：每月/季/年支付一次，或全部租金一次性支付）。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（三）支付方式：乙方须于每个支付期前[]日内将下一期租金以[]方式（支票、汇票等）汇入甲方指定账户:[]，甲方向乙方开据合法票据。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第四条 房屋租赁用途</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乙方承租该房屋用途为：[]，在租赁期内未征得甲方书面同意，乙方不得擅自改变该房屋的用途，不得转租或分租给第三方。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乙方承诺使用承租房屋从事的各项活动均符合国家法律、法规和有关规定，并独立承担完全责任。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第五条 房屋维护及修缮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（一）甲方负责维修的范围、时间及费用负担：[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（二）乙方负责房屋的日常维护，保护各项设施、设备免遭损坏。甲方允许（不允许）乙方对该房屋进行装修或增设他物。装修、增设他物的范围是：[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]，费用由乙方负担。乙方装修房屋或者增设他物，不得改变房屋结构，不得影响房屋安全。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（三）租赁合同期满或解除后，乙方房屋装修、改善增设他物的处理：[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第六条 房屋租赁保证金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（一）本合同生效后[]日内，乙方须向甲方支付房屋租赁保证金人民币（大写）[]元。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（二）租赁期满或合同解除后，房屋租赁保证金由甲方抵扣应由乙方承担的费用、租金、滞纳金及赔偿等，剩余部分如数返还乙方。房屋租赁保证金不计付利息。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第七条 房屋使用的有关费用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租赁期内，与该房屋有关的各项费用承担方式为：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乙方承担的费用：水费、电费、电话费、电视收视费、互联网费、供暖费、燃气费、物业管理费及除甲方承担的相关税款外的其它费用等（提示：应逐一列全）。上述费用的交付方式为：[]（提示：甲方垫付乙方归还或者乙方直接支付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（二）甲方承担的费用：甲方应承担的相关税款。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第八条 房屋交付及交还的期限、方式及验收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（一）交付：甲方应按租赁期限规定按时将房屋交付乙方，乙方予以验收，并于交接时由双方在《房屋附属设施、设备清单》（见附件）上签字盖章。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交还：乙方应于租赁期满或合同解除后[]日内，将房屋全部交还甲方，甲方予以验收。按合同约定乙方可移走的所有物品同时移走，逾期未移走的，甲方有权处置。双方于房屋交接时在《房屋附属设施、设备清单》上签字盖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第九条 合同解除的条件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（一）有下列情形之一的，本合同终止，甲乙双方互不承担违约责任：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1、该房屋因城市建设需要被依法列入房屋拆迁范围的；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2、因法定不可抗力致使房屋毁损、灭失或造成其他损失而无法继续使用的；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3、非甲乙双方因素致使合同终止的其他情形。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（二）甲方有下列情形之一的，乙方有权解除本合同：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1、迟延交付房屋[]日以上；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2、交付的房屋不符合合同约定影响乙方正常使用；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（三）乙方有下列情形之一的，甲方有权解除本合同：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1、不支付或者不按照约定支付租金；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2、不支付或者不按约定支付应由乙方负担的各项费用；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3、未经甲方书面同意，乙方擅自改变该房屋用途或转租、分租给第三方；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4、违反合同约定对房屋进行维修、增设他物或不承担维护责任致使房屋或设备设施损坏；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5、利用该房屋从事违法活动；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第十条 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（一）甲方未按约定履行维修义务造成乙方人身受到伤害或财物毁损的，应承担赔偿责任，赔偿金额按造成的实际损失计算；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（二）乙方违反合同约定使用或维修房屋给甲方造成损失的，应承担赔偿责任，赔偿金额按造成的实际损失计算；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（三）乙方逾期不向甲方支付保证金或租金，除应如数补交外，还应支付应付金额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[]%的滞纳金（提示：不低于银行同期贷款利率）；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（四）双方约定的其他责任：[]。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第十一条 合同争议的解决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本合同在履行过程中发生争议，由双方当事人协商解决；也可由当地工商行政管理部门调解；协商或调解不能解决的，按下列第[]种方式解决：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（一）提交[]仲裁委员会仲裁；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（二）依法向有管辖权的人民法院起诉。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第十二条 其他约定事项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双方需要约定的其他内容：[]。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本合同经甲乙双方签字盖章后生效。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本合同一式[]份，双方各执一份，同时按规定送同级财政部门及其他有关部门备案。</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附件：房屋附属设施、设备清单</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甲方（章）：乙方（章）：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住所：住所：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法定代表人（签字）： 法定代表人（签字）：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委托代理人：委托代理人：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电话：电话：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开户银行：开户银行：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账号：账号：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邮政编码：邮政编码：</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合同附件：</w:t>
      </w:r>
    </w:p>
    <w:p>
      <w:pPr>
        <w:spacing w:line="400" w:lineRule="exact"/>
        <w:ind w:firstLine="520" w:firstLineChars="200"/>
        <w:jc w:val="center"/>
        <w:rPr>
          <w:rFonts w:ascii="方正小标宋简体" w:hAnsi="方正仿宋简体" w:eastAsia="方正小标宋简体" w:cs="方正仿宋简体"/>
          <w:sz w:val="26"/>
          <w:szCs w:val="26"/>
        </w:rPr>
      </w:pPr>
      <w:r>
        <w:rPr>
          <w:rFonts w:hint="eastAsia" w:ascii="方正小标宋简体" w:hAnsi="方正仿宋简体" w:eastAsia="方正小标宋简体" w:cs="方正仿宋简体"/>
          <w:sz w:val="26"/>
          <w:szCs w:val="26"/>
        </w:rPr>
        <w:t>房屋附属设施、设备清单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货币单位：元</w:t>
      </w:r>
    </w:p>
    <w:tbl>
      <w:tblPr>
        <w:tblStyle w:val="14"/>
        <w:tblW w:w="0" w:type="auto"/>
        <w:jc w:val="center"/>
        <w:tblLayout w:type="autofit"/>
        <w:tblCellMar>
          <w:top w:w="57" w:type="dxa"/>
          <w:left w:w="85" w:type="dxa"/>
          <w:bottom w:w="57" w:type="dxa"/>
          <w:right w:w="85" w:type="dxa"/>
        </w:tblCellMar>
      </w:tblPr>
      <w:tblGrid>
        <w:gridCol w:w="767"/>
        <w:gridCol w:w="1208"/>
        <w:gridCol w:w="1155"/>
        <w:gridCol w:w="1102"/>
        <w:gridCol w:w="993"/>
        <w:gridCol w:w="1133"/>
        <w:gridCol w:w="1155"/>
        <w:gridCol w:w="1155"/>
      </w:tblGrid>
      <w:tr>
        <w:tblPrEx>
          <w:tblCellMar>
            <w:top w:w="57" w:type="dxa"/>
            <w:left w:w="85" w:type="dxa"/>
            <w:bottom w:w="57" w:type="dxa"/>
            <w:right w:w="85" w:type="dxa"/>
          </w:tblCellMar>
        </w:tblPrEx>
        <w:trPr>
          <w:trHeight w:val="355" w:hRule="atLeast"/>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编号</w:t>
            </w:r>
          </w:p>
        </w:tc>
        <w:tc>
          <w:tcPr>
            <w:tcW w:w="1246"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物品名称</w:t>
            </w:r>
          </w:p>
        </w:tc>
        <w:tc>
          <w:tcPr>
            <w:tcW w:w="1190"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规格型号</w:t>
            </w:r>
          </w:p>
        </w:tc>
        <w:tc>
          <w:tcPr>
            <w:tcW w:w="1135"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数量</w:t>
            </w:r>
          </w:p>
        </w:tc>
        <w:tc>
          <w:tcPr>
            <w:tcW w:w="1020"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单价</w:t>
            </w:r>
          </w:p>
        </w:tc>
        <w:tc>
          <w:tcPr>
            <w:tcW w:w="1167"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物品金额</w:t>
            </w:r>
          </w:p>
        </w:tc>
        <w:tc>
          <w:tcPr>
            <w:tcW w:w="1190"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简单说明</w:t>
            </w:r>
          </w:p>
        </w:tc>
        <w:tc>
          <w:tcPr>
            <w:tcW w:w="1190" w:type="dxa"/>
            <w:tcBorders>
              <w:top w:val="single" w:color="000000" w:sz="4" w:space="0"/>
              <w:left w:val="nil"/>
              <w:bottom w:val="single" w:color="000000" w:sz="4" w:space="0"/>
              <w:right w:val="single" w:color="000000" w:sz="4" w:space="0"/>
            </w:tcBorders>
            <w:shd w:val="clear" w:color="auto" w:fill="auto"/>
          </w:tcPr>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备注</w:t>
            </w: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12</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14</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15</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16</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17</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770" w:type="dxa"/>
            <w:tcBorders>
              <w:top w:val="nil"/>
              <w:left w:val="single" w:color="000000" w:sz="4" w:space="0"/>
              <w:bottom w:val="single" w:color="000000" w:sz="4" w:space="0"/>
              <w:right w:val="single" w:color="000000" w:sz="4" w:space="0"/>
            </w:tcBorders>
            <w:shd w:val="clear" w:color="auto" w:fill="auto"/>
          </w:tcPr>
          <w:p>
            <w:pPr>
              <w:spacing w:line="400" w:lineRule="exact"/>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18</w:t>
            </w:r>
          </w:p>
        </w:tc>
        <w:tc>
          <w:tcPr>
            <w:tcW w:w="1246"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35"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02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67"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c>
          <w:tcPr>
            <w:tcW w:w="1190" w:type="dxa"/>
            <w:tcBorders>
              <w:top w:val="nil"/>
              <w:left w:val="nil"/>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p>
        </w:tc>
      </w:tr>
      <w:tr>
        <w:tblPrEx>
          <w:tblCellMar>
            <w:top w:w="57" w:type="dxa"/>
            <w:left w:w="85" w:type="dxa"/>
            <w:bottom w:w="57" w:type="dxa"/>
            <w:right w:w="85" w:type="dxa"/>
          </w:tblCellMar>
        </w:tblPrEx>
        <w:trPr>
          <w:trHeight w:val="355" w:hRule="atLeast"/>
          <w:jc w:val="center"/>
        </w:trPr>
        <w:tc>
          <w:tcPr>
            <w:tcW w:w="8908" w:type="dxa"/>
            <w:gridSpan w:val="8"/>
            <w:tcBorders>
              <w:top w:val="nil"/>
              <w:left w:val="single" w:color="000000" w:sz="4" w:space="0"/>
              <w:bottom w:val="single" w:color="000000" w:sz="4" w:space="0"/>
              <w:right w:val="single" w:color="000000" w:sz="4" w:space="0"/>
            </w:tcBorders>
            <w:shd w:val="clear" w:color="auto" w:fill="auto"/>
          </w:tcPr>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物品损坏的赔偿约定：</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tc>
      </w:tr>
    </w:tbl>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注：甲乙双方可直接在本清单填写内容并签字盖章，也可将自行拟定并签字盖章的《房屋附属设施、设备清单》附在本页，本附页为合同的组成部分，与合同具同等法律效力。</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附件2：</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center"/>
        <w:rPr>
          <w:rFonts w:ascii="方正小标宋简体" w:hAnsi="方正仿宋简体" w:eastAsia="方正小标宋简体" w:cs="方正仿宋简体"/>
          <w:sz w:val="26"/>
          <w:szCs w:val="26"/>
        </w:rPr>
      </w:pPr>
      <w:r>
        <w:rPr>
          <w:rFonts w:hint="eastAsia" w:ascii="方正小标宋简体" w:hAnsi="方正仿宋简体" w:eastAsia="方正小标宋简体" w:cs="方正仿宋简体"/>
          <w:sz w:val="26"/>
          <w:szCs w:val="26"/>
        </w:rPr>
        <w:t>山东省行政事业单位土地使用权租赁合同（式样）</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合同编号: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签订地点：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签订时间：年月日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出租方（甲方）：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承租方（乙方）：</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依据《中华人民共和国合同法》、《山东省行政事业单位国有资产有偿使用管理暂行办法》（鲁财资〔2010〕50号）及有关法律、法规和规章制度，甲乙双方在平等、自愿的基础上，就土地使用权租赁的有关事宜达成协议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第一条 土地基本情况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该宗土地坐落于[]市[]县（市、区），土地四至为：[]，土地面积为[]平方米。土地使用证号（或土地使用权凭证）：[]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其他情况：[ ]（提示：有无地上建筑物、附着物及相关设施情况等）。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甲方承诺出租该土地的行为已经有权机构批准，且该土地产权清晰，未设定抵押、担保，未涉及法律诉讼。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第二条租赁期限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租赁期限自[]年[]月[]日至[]年[]月[]日。（提示：租赁期限不得超过10年，且不得超出土地权利证书载明的有效期限）。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租赁合同期满，乙方应如期交还所租赁土地；乙方逾期不交还的，甲方有权收回。甲方如需继续出租，同等条件下，乙方享有优先承租权，经原批准机构批准，双方另行签订租赁合同。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第三条 租金、租金支付期限及方式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（一）租金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*（租赁期限不超过3年的）租金标准为每日每平方米[]元（提示：符合有权机构批准文件的要求）,租金总额为：人民币（大写）[]元。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*（租赁期限超过3年的，每2年为一个档期确定租金标准）租金总额为[]元：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第1、2年，租金标准为每日每平方米[]元，租金额为人民币[]元；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第3、4年，租金标准为每日每平方米[]元，租金额为人民币[]元；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第5、6年，租金标准为每日每平方米[]元，租金额为人民币[]元；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第7、8年，租金标准为每日每平方米[]元，租金额为人民币[]元；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第9、10年，租金标准为每日每平方米[]元，租金额为人民币[]元。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（二）支付期限：[]（提示：每月/季/年支付一次，或全部租金一次性支付）。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（三）支付方式：乙方须于每个支付期前[]日内将下一期租金以[]方式（支票、汇票等）汇入甲方指定账户:[]，甲方向乙方开据合法票据。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第四条 土地租赁用途</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乙方承租该土地用途为：[]。在租赁期内未征得甲方书面同意，乙方不得擅自改变土地的用途，不得转租或分租给第三方。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甲方允许（不允许）乙方在土地上增设他物。增设他物的范围是：[]。乙方增设他物须符合国家和驻地政府有关土地利用和城市规划规定。合同到期后，乙方增设他物的处理：[]。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乙方承诺使用承租土地从事的各项活动均符合国家法律、法规和有关规定，并独立承担完全责任。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第五条 土地使用过程中的有关费用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租赁期内，与使用该土地有关的各项费用承担方式为：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（一）乙方承担的费用：[]，交付方式为：[]（提示：甲方垫付乙方归还或者乙方直接支付等）。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（二）甲方承担的费用：甲方应承担的相关税款。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第六条 土地交付及交还的期限方式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（一）交付：甲方应按租赁期限规定按时将土地交付乙方。交付时原有地上建筑物及其附着物的处理：[]。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（二）交还：乙方应于租赁期满或合同解除后[]日内，将土地全部交还甲方。乙方应按合同约定移走其所有物品，逾期未移走的，甲方有权处置。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第七条租赁保证金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（一）本合同生效后[]日内，乙方须向甲方支付土地租赁保证金人民币（大写）[]元。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（二）租赁期满或合同解除后，租赁保证金由甲方抵扣应由乙方承担的费用、租金、滞纳金及赔偿等，剩余部分如数返还乙方。保证金不计付利息。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第八条 合同解除的条件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（一）有下列情形之一的，本合同终止，甲乙双方互不承担违约责任：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1、该土地被依法收回或征用的；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2、因法定不可抗力致使土地无法继续使用的；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3、非甲乙双方因素致使合同终止的其他情形。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（二）甲方有下列情形之一的，乙方有权解除本合同：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1、迟延交付土地[]日以上；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2、交付的土地不符合合同约定影响乙方正常使用；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（三）乙方有下列情形之一的，甲方有权单方解除本合同：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1、不支付或者不按照约定支付租金；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2、不支付或者不按约定支付应由乙方负担的各项费用；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3、未经甲方书面同意，乙方擅自改变该土地用途或转租、分租给第三方；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4、违反合同约定在土地上增设他物；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5、利用该土地从事违法活动；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第九条 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（一）一方违反合同约定给对方造成损失的，应承担赔偿责任，赔偿金额按造成的实际损失计算；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（二）乙方逾期不向甲方支付租金或保证金，除应如数补交外，还应支付应付金额[]%的滞纳金（提示：不低于银行同期贷款利率）；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（三）双方约定的其他责任：[]。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第十条 合同争议的解决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本合同在履行过程中发生争议，由双方当事人协商解决；也可由当地工商行政管理部门调解；协商或调解不能解决的，按下列第[]种方式解决：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（一）提交[]仲裁委员会仲裁；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（二）依法向有管辖权的人民法院起诉。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第十一条 其他约定事项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双方需要约定的其他内容：[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本合同经甲乙双方签字盖章后生效。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本合同一式[]份，双方各执一份，同时按规定送同级财政部门和其他有关部门备案。</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甲方（章）：乙方（章）：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住所：住所：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法定代表人（签字）： 法定代表人（签字）：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委托代理人：委托代理人：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电话：电话：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开户银行：开户银行：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账号：账号：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邮政编码：邮政编码：</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附件3：</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center"/>
        <w:rPr>
          <w:rFonts w:ascii="方正小标宋简体" w:hAnsi="方正仿宋简体" w:eastAsia="方正小标宋简体" w:cs="方正仿宋简体"/>
          <w:sz w:val="26"/>
          <w:szCs w:val="26"/>
        </w:rPr>
      </w:pPr>
      <w:r>
        <w:rPr>
          <w:rFonts w:hint="eastAsia" w:ascii="方正小标宋简体" w:hAnsi="方正仿宋简体" w:eastAsia="方正小标宋简体" w:cs="方正仿宋简体"/>
          <w:sz w:val="26"/>
          <w:szCs w:val="26"/>
        </w:rPr>
        <w:t>山东省行政事业单位仪器设备租赁合同（式样）</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合同编号: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签订地点：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签订时间：年月日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出租方（甲方）： </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承租方（乙方）：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依据《中华人民共和国合同法》、《山东省行政事业单位国有资产有偿使用管理暂行办法》（鲁财资〔2010〕50号）及有关法律、法规和规章制度，甲乙双方在平等、自愿的基础上，就设备租赁的有关事宜达成协议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第一条 仪器设备基本情况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仪器设备名称[]，品牌型号[]，账面价值[]，目前使用状况[]（提示：已使用年限等），其他情况[]。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甲方承诺出租该设备的行为已经有权机构批准，且该设备产权清晰，未设定抵押、担保，未涉及法律诉讼。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第二条租赁期限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租赁期限自[]年[]月[]日至[]年[]月[]日。（提示：租赁期限不得超过10年）。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租赁合同期满，乙方应如期交还所租赁设备；乙方逾期不交还的，甲方有权收回该设备。甲方如需继续出租，同等条件下，乙方享有优先承租权，经原批准机构批准，双方另行签订租赁合同。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第三条 租金、租金支付期限及方式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（一）租金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*（租赁期限不超过3年的）租金标准每[]（提示：月、季、年或其他）[]元（提示：符合有权机构批准文件的要求）,租金总额为：人民币（大写）[]元。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*（租赁期限超过3年的，每2年为一个档期确定租金标准）租金总额为[]元：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第1、2年，租金标准为每[][]元，租金额为人民币[]元；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第3、4年，租金标准为每[][]元，租金额为人民币[]元；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第5、6年，租金标准为每[][]元，租金额为人民币[]元；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第7、8年，租金标准为每[][]元，租金额为人民币[]元；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第9、10年，租金标准为每[][]元，租金额为人民币[]元。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（二）支付期限：[]（提示：每月/季/年支付一次，或全部租金一次性支付）。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（三）支付方式：乙方须于每个支付期前[]日内将下一期租金以[]方式（支票、汇票等）汇入甲方指定账户:[]，甲方向乙方开据合法票据。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第四条 设备租赁用途与使用责任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乙方承租该设备用途为：[]，在租赁期内未征得甲方书面同意，乙方不得擅自改变设备用途，并不得转租给第三方。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乙方承诺使用承租设备从事的各项活动均符合国家法律、法规和有关规定，并独立承担完全责任。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乙方使用承租设备过程中所发生事故责任的承担：[]。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第五条 设备保养维修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（一）甲方负责维护维修的范围：[]，费用由甲方负担。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（二）乙方负责设备的日常保养与维修，费用由乙方负担。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第六条 设备使用过程中的有关费用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租赁期内，与该设备有关的各项费用承担方式为：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（一）乙方承担的费用：[]（提示：如设备保养维修费，车辆年审费、保险费、燃油费等，应逐一列全）。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（二）甲方承担的费用：[]。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第七条 保证金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（一）本合同生效后[]日内，乙方须向甲方支付设备租赁保证金人民币（大写）[]元。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（二）租赁期满或合同解除后，设备租赁保证金由甲方抵扣应由乙方承担的费用、租金、滞纳金及赔偿等，剩余部分如数返还乙方。保证金不计付利息。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第八条 合同解除的条件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（一）有下列情形之一的，本合同终止，甲乙双方互不承担违约责任：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1、因法定不可抗力致使设备毁损、灭失或造成其他损失而无法继续使用的；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2、非甲乙双方因素致使合同终止的其他情形。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（二）甲方有下列情形之一的，乙方有权单方解除本合同：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1、迟延交付设备[]日以上；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2、交付的设备不符合合同约定影响乙方正常使用；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（三）乙方有下列情形之一的，甲方有权单方解除合同：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1、不支付或者不按照约定支付租金或保证金；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2、未经甲方书面同意，乙方擅自改变该设备用途或转租给第三方；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3、违反合同约定不承担保养维护责任致使设备损坏；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4、利用该设备从事违法活动；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5、双方约定的其他情形：[]。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第九条 违约责任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（一）一方违反合同约定给对方造成损失的，应承担赔偿责任；赔偿金额按造成的实际损失计算。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（二）乙方逾期不向甲方支付保证金或租金，除应如数补交外，还应按日支付应付金额[]%的滞纳金（提示：不低于银行同期贷款利率）；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（三）双方约定的其他责任：[]。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第十条 合同争议的解决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本合同在履行过程中发生争议，由双方当事人协商解决；也可由当地工商行政管理部门调解；协商或调解不能解决的，按下列第[]种方式解决：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（一）提交[]仲裁委员会仲裁；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（二）依法向有管辖权的人民法院起诉。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第十一条 其他约定事项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双方需要约定的其他内容:[]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本合同经甲乙双方签字盖章后生效。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本合同一式三份，双方各执一份，同时按规定送同级财政部门备案一份。</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甲方（章）：乙方（章）：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住所：住所：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法定代表人（签字）： 法定代表人（签字）：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委托代理人：委托代理人：</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电话：电话：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开户银行：开户银行：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账号：账号：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邮政编码：邮政编码：</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pStyle w:val="4"/>
        <w:spacing w:line="400" w:lineRule="exact"/>
        <w:ind w:firstLine="640" w:firstLineChars="200"/>
        <w:rPr>
          <w:rFonts w:hAnsiTheme="minorHAnsi" w:cstheme="minorBidi"/>
          <w:bCs w:val="0"/>
          <w:sz w:val="32"/>
          <w:szCs w:val="21"/>
          <w:lang w:val="en-US" w:bidi="ar-SA"/>
        </w:rPr>
      </w:pPr>
      <w:r>
        <w:rPr>
          <w:rFonts w:hint="eastAsia" w:hAnsiTheme="minorHAnsi" w:cstheme="minorBidi"/>
          <w:bCs w:val="0"/>
          <w:sz w:val="32"/>
          <w:szCs w:val="21"/>
          <w:lang w:val="en-US" w:bidi="ar-SA"/>
        </w:rPr>
        <w:t>关于调整行政事业国有资产租赁事项审批权限的通知</w:t>
      </w:r>
    </w:p>
    <w:p>
      <w:pPr>
        <w:spacing w:line="400" w:lineRule="exact"/>
        <w:ind w:firstLine="520" w:firstLineChars="200"/>
        <w:jc w:val="center"/>
        <w:rPr>
          <w:rFonts w:ascii="方正仿宋简体" w:hAnsi="方正仿宋简体" w:eastAsia="方正仿宋简体" w:cs="方正仿宋简体"/>
          <w:sz w:val="26"/>
          <w:szCs w:val="26"/>
        </w:rPr>
      </w:pPr>
      <w:r>
        <w:rPr>
          <w:rFonts w:hint="eastAsia"/>
          <w:bCs/>
          <w:sz w:val="26"/>
          <w:szCs w:val="26"/>
        </w:rPr>
        <w:t>鲁财资〔2013〕92号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各市财政局、省财政直接管理县（市）财政局，省直各部门、单位：</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根据工作需要，现对《山东省行政事业单位国有资产有偿使用管理暂行办法》（鲁财资〔2010〕50号）规定的行政事业国有资产租赁事项审批权限调整如下：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省级行政事业单位下列资产一个会计年度内租赁期限累计超过6个月的租赁事项由省财政厅审批：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一）单独的土地使用权租赁；（二）位于县（市、区）以上政府驻地的独立院落租赁；（三）非独立院落建筑面积超过2000平方米的房屋建筑物租赁；（四）单项账面价值100万元以上的通用和专用设备租赁。其他资产租赁事项，由省级主管部门负责审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市及市以下行政事业国有资产租赁事项审批权限的调整，由同级财政部门确定。</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 xml:space="preserve"> 本通知规定自2014年1月1日起执行。</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460" w:firstLineChars="21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山东省财政厅</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330" w:firstLineChars="20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2013年12月23日</w:t>
      </w:r>
    </w:p>
    <w:p>
      <w:pPr>
        <w:spacing w:line="400" w:lineRule="exact"/>
        <w:ind w:firstLine="520" w:firstLineChars="200"/>
        <w:jc w:val="left"/>
        <w:rPr>
          <w:rFonts w:ascii="方正仿宋简体" w:hAnsi="方正仿宋简体" w:eastAsia="方正仿宋简体" w:cs="方正仿宋简体"/>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520" w:firstLineChars="200"/>
        <w:jc w:val="left"/>
        <w:rPr>
          <w:rFonts w:ascii="方正仿宋简体" w:hAnsi="方正仿宋简体" w:eastAsia="方正仿宋简体" w:cs="方正仿宋简体"/>
          <w:color w:val="FF0000"/>
          <w:sz w:val="26"/>
          <w:szCs w:val="26"/>
        </w:rPr>
      </w:pPr>
    </w:p>
    <w:p>
      <w:pPr>
        <w:tabs>
          <w:tab w:val="left" w:pos="1565"/>
          <w:tab w:val="left" w:pos="3005"/>
          <w:tab w:val="left" w:pos="4460"/>
          <w:tab w:val="left" w:pos="5900"/>
          <w:tab w:val="left" w:pos="7513"/>
        </w:tabs>
        <w:spacing w:line="400" w:lineRule="exact"/>
        <w:ind w:right="-7" w:firstLine="640" w:firstLineChars="200"/>
        <w:jc w:val="left"/>
        <w:rPr>
          <w:rFonts w:ascii="方正小标宋简体" w:hAnsi="方正仿宋简体" w:eastAsia="方正小标宋简体" w:cs="方正仿宋简体"/>
          <w:color w:val="FF0000"/>
          <w:spacing w:val="-17"/>
          <w:sz w:val="32"/>
          <w:szCs w:val="32"/>
        </w:rPr>
      </w:pPr>
      <w:r>
        <w:rPr>
          <w:rFonts w:hint="eastAsia" w:ascii="方正小标宋简体" w:hAnsi="方正仿宋简体" w:eastAsia="方正小标宋简体" w:cs="方正仿宋简体"/>
          <w:color w:val="FF0000"/>
          <w:sz w:val="32"/>
          <w:szCs w:val="32"/>
        </w:rPr>
        <w:t>山</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东</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省</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教</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 xml:space="preserve">育        </w:t>
      </w:r>
      <w:r>
        <w:rPr>
          <w:rFonts w:hint="eastAsia" w:ascii="方正小标宋简体" w:hAnsi="方正仿宋简体" w:eastAsia="方正小标宋简体" w:cs="方正仿宋简体"/>
          <w:color w:val="FF0000"/>
          <w:spacing w:val="-17"/>
          <w:sz w:val="32"/>
          <w:szCs w:val="32"/>
        </w:rPr>
        <w:t>厅</w:t>
      </w:r>
    </w:p>
    <w:p>
      <w:pPr>
        <w:tabs>
          <w:tab w:val="left" w:pos="1565"/>
          <w:tab w:val="left" w:pos="3005"/>
          <w:tab w:val="left" w:pos="4460"/>
          <w:tab w:val="left" w:pos="5900"/>
          <w:tab w:val="left" w:pos="7513"/>
        </w:tabs>
        <w:spacing w:line="400" w:lineRule="exact"/>
        <w:ind w:right="-7" w:firstLine="640" w:firstLineChars="200"/>
        <w:jc w:val="left"/>
        <w:rPr>
          <w:rFonts w:ascii="方正小标宋简体" w:hAnsi="方正仿宋简体" w:eastAsia="方正小标宋简体" w:cs="方正仿宋简体"/>
          <w:sz w:val="32"/>
          <w:szCs w:val="32"/>
        </w:rPr>
      </w:pPr>
      <w:r>
        <w:rPr>
          <w:rFonts w:hint="eastAsia" w:ascii="方正小标宋简体" w:hAnsi="方正仿宋简体" w:eastAsia="方正小标宋简体" w:cs="方正仿宋简体"/>
          <w:color w:val="FF0000"/>
          <w:sz w:val="32"/>
          <w:szCs w:val="32"/>
        </w:rPr>
        <w:t>山</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东</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省</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财</w:t>
      </w:r>
      <w:r>
        <w:rPr>
          <w:rFonts w:hint="eastAsia" w:ascii="方正小标宋简体" w:hAnsi="方正仿宋简体" w:eastAsia="方正小标宋简体" w:cs="方正仿宋简体"/>
          <w:color w:val="FF0000"/>
          <w:sz w:val="32"/>
          <w:szCs w:val="32"/>
        </w:rPr>
        <w:tab/>
      </w:r>
      <w:r>
        <w:rPr>
          <w:rFonts w:hint="eastAsia" w:ascii="方正小标宋简体" w:hAnsi="方正仿宋简体" w:eastAsia="方正小标宋简体" w:cs="方正仿宋简体"/>
          <w:color w:val="FF0000"/>
          <w:sz w:val="32"/>
          <w:szCs w:val="32"/>
        </w:rPr>
        <w:t xml:space="preserve">政        </w:t>
      </w:r>
      <w:r>
        <w:rPr>
          <w:rFonts w:hint="eastAsia" w:ascii="方正小标宋简体" w:hAnsi="方正仿宋简体" w:eastAsia="方正小标宋简体" w:cs="方正仿宋简体"/>
          <w:color w:val="FF0000"/>
          <w:spacing w:val="-17"/>
          <w:sz w:val="32"/>
          <w:szCs w:val="32"/>
        </w:rPr>
        <w:t>厅</w:t>
      </w:r>
    </w:p>
    <w:p>
      <w:pPr>
        <w:pStyle w:val="6"/>
        <w:spacing w:line="400" w:lineRule="exact"/>
        <w:ind w:firstLine="520" w:firstLineChars="200"/>
        <w:jc w:val="left"/>
        <w:rPr>
          <w:sz w:val="26"/>
          <w:szCs w:val="26"/>
        </w:rPr>
      </w:pPr>
    </w:p>
    <w:p>
      <w:pPr>
        <w:spacing w:line="400" w:lineRule="exact"/>
        <w:ind w:right="135"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鲁教财字〔2016〕9 号</w:t>
      </w:r>
    </w:p>
    <w:p>
      <w:pPr>
        <w:pStyle w:val="6"/>
        <w:spacing w:line="400" w:lineRule="exact"/>
        <w:ind w:firstLine="520" w:firstLineChars="200"/>
        <w:jc w:val="left"/>
        <w:rPr>
          <w:sz w:val="26"/>
          <w:szCs w:val="26"/>
        </w:rPr>
      </w:pPr>
      <w:r>
        <w:rPr>
          <w:sz w:val="26"/>
          <w:szCs w:val="26"/>
        </w:rPr>
        <w:pict>
          <v:line id="_x0000_s1032" o:spid="_x0000_s1032" o:spt="20" style="position:absolute;left:0pt;margin-left:75.9pt;margin-top:9.9pt;height:0pt;width:442.9pt;mso-position-horizontal-relative:page;mso-wrap-distance-bottom:0pt;mso-wrap-distance-top:0pt;z-index:-251640832;mso-width-relative:page;mso-height-relative:page;" stroked="t" coordsize="21600,21600" o:gfxdata="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4HZpNYAAAAKAQAADwAAAAAAAAABACAAAAAiAAAAZHJzL2Rvd25yZXYueG1s&#10;UEsBAhQAFAAAAAgAh07iQF5/Qlz6AQAA5wMAAA4AAAAAAAAAAQAgAAAAJQEAAGRycy9lMm9Eb2Mu&#10;eG1sUEsFBgAAAAAGAAYAWQEAAJEFAAAAAA==&#10;">
            <v:path arrowok="t"/>
            <v:fill focussize="0,0"/>
            <v:stroke weight="0.96pt" color="#FF0000"/>
            <v:imagedata o:title=""/>
            <o:lock v:ext="edit"/>
            <w10:wrap type="topAndBottom"/>
          </v:line>
        </w:pict>
      </w: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spacing w:line="400" w:lineRule="exact"/>
        <w:ind w:firstLine="800" w:firstLineChars="200"/>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山东省教育厅</w:t>
      </w:r>
      <w:r>
        <w:rPr>
          <w:rFonts w:hint="eastAsia" w:ascii="方正小标宋简体" w:hAnsi="方正仿宋简体" w:eastAsia="方正小标宋简体" w:cs="方正仿宋简体"/>
          <w:b/>
          <w:bCs/>
          <w:sz w:val="40"/>
          <w:szCs w:val="40"/>
        </w:rPr>
        <w:tab/>
      </w:r>
      <w:r>
        <w:rPr>
          <w:rFonts w:hint="eastAsia" w:ascii="方正小标宋简体" w:hAnsi="方正仿宋简体" w:eastAsia="方正小标宋简体" w:cs="方正仿宋简体"/>
          <w:b/>
          <w:bCs/>
          <w:sz w:val="40"/>
          <w:szCs w:val="40"/>
        </w:rPr>
        <w:t>山东省财政厅</w:t>
      </w:r>
    </w:p>
    <w:p>
      <w:pPr>
        <w:pStyle w:val="4"/>
        <w:spacing w:line="400" w:lineRule="exact"/>
        <w:ind w:firstLine="640" w:firstLineChars="200"/>
        <w:rPr>
          <w:rFonts w:hAnsiTheme="minorHAnsi" w:cstheme="minorBidi"/>
          <w:bCs w:val="0"/>
          <w:sz w:val="32"/>
          <w:szCs w:val="21"/>
          <w:lang w:val="en-US" w:bidi="ar-SA"/>
        </w:rPr>
      </w:pPr>
      <w:r>
        <w:rPr>
          <w:rFonts w:hint="eastAsia" w:hAnsiTheme="minorHAnsi" w:cstheme="minorBidi"/>
          <w:bCs w:val="0"/>
          <w:sz w:val="32"/>
          <w:szCs w:val="21"/>
          <w:lang w:val="en-US" w:bidi="ar-SA"/>
        </w:rPr>
        <w:t>关于做好巡视整改工作进一步规范高等学校资产租赁及对外投资等国有资产有偿使用管理的通知</w:t>
      </w:r>
    </w:p>
    <w:p>
      <w:pPr>
        <w:pStyle w:val="6"/>
        <w:spacing w:line="400" w:lineRule="exact"/>
        <w:ind w:firstLine="520" w:firstLineChars="200"/>
        <w:jc w:val="left"/>
        <w:rPr>
          <w:sz w:val="26"/>
          <w:szCs w:val="26"/>
        </w:rPr>
      </w:pPr>
    </w:p>
    <w:p>
      <w:pPr>
        <w:pStyle w:val="6"/>
        <w:spacing w:line="400" w:lineRule="exact"/>
        <w:jc w:val="left"/>
        <w:rPr>
          <w:bCs/>
          <w:iCs/>
          <w:sz w:val="26"/>
          <w:szCs w:val="26"/>
        </w:rPr>
      </w:pPr>
      <w:r>
        <w:rPr>
          <w:rFonts w:hint="eastAsia"/>
          <w:bCs/>
          <w:iCs/>
          <w:sz w:val="26"/>
          <w:szCs w:val="26"/>
        </w:rPr>
        <w:t>各高等学校：</w:t>
      </w:r>
    </w:p>
    <w:p>
      <w:pPr>
        <w:pStyle w:val="6"/>
        <w:spacing w:line="400" w:lineRule="exact"/>
        <w:ind w:firstLine="520" w:firstLineChars="200"/>
        <w:jc w:val="left"/>
        <w:rPr>
          <w:bCs/>
          <w:iCs/>
          <w:sz w:val="26"/>
          <w:szCs w:val="26"/>
        </w:rPr>
      </w:pPr>
      <w:r>
        <w:rPr>
          <w:rFonts w:hint="eastAsia"/>
          <w:bCs/>
          <w:iCs/>
          <w:sz w:val="26"/>
          <w:szCs w:val="26"/>
        </w:rPr>
        <w:t>针对我省高校近年来在国有资产有偿使用管理中存在的问 题，为维护国有资产权益，防止国有资产流失，实现国有资产保值增值，根据《财政部关于进一步规范和加强行政事业单位国有资产管理的指导意见》（财资〔2015〕90 号）、《山东省行政事业单位国有资产有偿使用管理暂行办法》（鲁财资〔2010〕50 号） 等文件要求，现就进一步规范高等学校资产租赁及对外投资等国有资产有偿使用管理通知如下</w:t>
      </w:r>
    </w:p>
    <w:p>
      <w:pPr>
        <w:pStyle w:val="6"/>
        <w:spacing w:line="400" w:lineRule="exact"/>
        <w:ind w:firstLine="520" w:firstLineChars="200"/>
        <w:jc w:val="left"/>
        <w:rPr>
          <w:bCs/>
          <w:iCs/>
          <w:sz w:val="26"/>
          <w:szCs w:val="26"/>
        </w:rPr>
      </w:pPr>
      <w:r>
        <w:rPr>
          <w:rFonts w:hint="eastAsia"/>
          <w:bCs/>
          <w:iCs/>
          <w:sz w:val="26"/>
          <w:szCs w:val="26"/>
        </w:rPr>
        <w:t>一、明确管理职责</w:t>
      </w:r>
    </w:p>
    <w:p>
      <w:pPr>
        <w:pStyle w:val="6"/>
        <w:spacing w:line="400" w:lineRule="exact"/>
        <w:ind w:firstLine="520" w:firstLineChars="200"/>
        <w:jc w:val="left"/>
        <w:rPr>
          <w:bCs/>
          <w:iCs/>
          <w:sz w:val="26"/>
          <w:szCs w:val="26"/>
        </w:rPr>
      </w:pPr>
      <w:r>
        <w:rPr>
          <w:rFonts w:hint="eastAsia"/>
          <w:bCs/>
          <w:iCs/>
          <w:sz w:val="26"/>
          <w:szCs w:val="26"/>
        </w:rPr>
        <w:t>各高等学校要按照“统一领导、归口管理、分级负责、责任到人”的原则，建立完善国有资产有偿使用管理体制，建立健全国有资产有偿使用管理办法，明确专门部门负责资产租赁，并代表学校履行国有资产有偿使用的管理职责，禁止多头管理。</w:t>
      </w:r>
    </w:p>
    <w:p>
      <w:pPr>
        <w:pStyle w:val="6"/>
        <w:spacing w:line="400" w:lineRule="exact"/>
        <w:ind w:firstLine="520" w:firstLineChars="200"/>
        <w:jc w:val="left"/>
        <w:rPr>
          <w:bCs/>
          <w:iCs/>
          <w:sz w:val="26"/>
          <w:szCs w:val="26"/>
        </w:rPr>
      </w:pPr>
      <w:r>
        <w:rPr>
          <w:rFonts w:hint="eastAsia"/>
          <w:bCs/>
          <w:iCs/>
          <w:sz w:val="26"/>
          <w:szCs w:val="26"/>
        </w:rPr>
        <w:t>二、规范租赁程序</w:t>
      </w:r>
    </w:p>
    <w:p>
      <w:pPr>
        <w:pStyle w:val="6"/>
        <w:spacing w:line="400" w:lineRule="exact"/>
        <w:ind w:firstLine="520" w:firstLineChars="200"/>
        <w:jc w:val="left"/>
        <w:rPr>
          <w:bCs/>
          <w:iCs/>
          <w:sz w:val="26"/>
          <w:szCs w:val="26"/>
        </w:rPr>
      </w:pPr>
      <w:r>
        <w:rPr>
          <w:rFonts w:hint="eastAsia"/>
          <w:bCs/>
          <w:iCs/>
          <w:sz w:val="26"/>
          <w:szCs w:val="26"/>
        </w:rPr>
        <w:t>高等学校资产租赁，应当采取公开招募的方式选择承租人， 竞价最高者获得承租权。不便于公开招募的，以协议方式定向租赁，租赁价格不得低于经中介机构评估价格或市场公允价格。所有租赁业务必须在校务公开栏或学校网站中公开租赁程序、承租单位、租赁价格和租赁期限。高等学校不得以任何方式将资产无偿提供给非行政事业单位使用。</w:t>
      </w:r>
    </w:p>
    <w:p>
      <w:pPr>
        <w:pStyle w:val="6"/>
        <w:spacing w:line="400" w:lineRule="exact"/>
        <w:ind w:firstLine="520" w:firstLineChars="200"/>
        <w:jc w:val="left"/>
        <w:rPr>
          <w:bCs/>
          <w:iCs/>
          <w:sz w:val="26"/>
          <w:szCs w:val="26"/>
        </w:rPr>
      </w:pPr>
      <w:r>
        <w:rPr>
          <w:rFonts w:hint="eastAsia"/>
          <w:bCs/>
          <w:iCs/>
          <w:sz w:val="26"/>
          <w:szCs w:val="26"/>
        </w:rPr>
        <w:t>三、明确审批权限</w:t>
      </w:r>
    </w:p>
    <w:p>
      <w:pPr>
        <w:pStyle w:val="6"/>
        <w:spacing w:line="400" w:lineRule="exact"/>
        <w:ind w:firstLine="520" w:firstLineChars="200"/>
        <w:jc w:val="left"/>
        <w:rPr>
          <w:bCs/>
          <w:iCs/>
          <w:sz w:val="26"/>
          <w:szCs w:val="26"/>
        </w:rPr>
      </w:pPr>
      <w:r>
        <w:rPr>
          <w:rFonts w:hint="eastAsia"/>
          <w:bCs/>
          <w:iCs/>
          <w:sz w:val="26"/>
          <w:szCs w:val="26"/>
        </w:rPr>
        <w:t>高等学校下列资产一个会计年度内租赁期限累计超过 6 个月的租赁事项需报主管部门审核后报省财政厅审批：（一）单独的土地使用权租赁；（二）位于县（市、区）以上政府驻地的独立院落租赁；（三）非独立院落建筑面积超过 2000 平方米的房屋建筑物租赁；（四）单项账面价值 100 万元以上的通用和专用设备租赁。对于租期较短、租赁价格较低的设备、场地、房屋等临时性租赁业务，由学校负责资产租赁的部门统一管理，并在《山东省行政事业国有资产季报》中进行完整披露。资产使用部门不得自行租赁。</w:t>
      </w:r>
    </w:p>
    <w:p>
      <w:pPr>
        <w:pStyle w:val="6"/>
        <w:spacing w:line="400" w:lineRule="exact"/>
        <w:ind w:firstLine="520" w:firstLineChars="200"/>
        <w:jc w:val="left"/>
        <w:rPr>
          <w:bCs/>
          <w:iCs/>
          <w:sz w:val="26"/>
          <w:szCs w:val="26"/>
        </w:rPr>
      </w:pPr>
      <w:r>
        <w:rPr>
          <w:rFonts w:hint="eastAsia"/>
          <w:bCs/>
          <w:iCs/>
          <w:sz w:val="26"/>
          <w:szCs w:val="26"/>
        </w:rPr>
        <w:t>四、规范合同文本</w:t>
      </w:r>
    </w:p>
    <w:p>
      <w:pPr>
        <w:pStyle w:val="6"/>
        <w:spacing w:line="400" w:lineRule="exact"/>
        <w:ind w:firstLine="520" w:firstLineChars="200"/>
        <w:jc w:val="left"/>
        <w:rPr>
          <w:bCs/>
          <w:iCs/>
          <w:sz w:val="26"/>
          <w:szCs w:val="26"/>
        </w:rPr>
      </w:pPr>
      <w:r>
        <w:rPr>
          <w:rFonts w:hint="eastAsia"/>
          <w:bCs/>
          <w:iCs/>
          <w:sz w:val="26"/>
          <w:szCs w:val="26"/>
        </w:rPr>
        <w:t>高等学校资产对外租赁必须签订租赁合同，租赁合同要按照省财政厅制定的山东省行政事业资产租赁合同示范文本签订。各高等学校和承租人不得另行制定合同文本，如有特殊约定事项，可以根据需要补充相应条款。临时性租赁业务，也要按照租赁合同示范文本和规定程序签订规范的租赁合同。</w:t>
      </w:r>
    </w:p>
    <w:p>
      <w:pPr>
        <w:pStyle w:val="6"/>
        <w:spacing w:line="400" w:lineRule="exact"/>
        <w:ind w:firstLine="520" w:firstLineChars="200"/>
        <w:jc w:val="left"/>
        <w:rPr>
          <w:bCs/>
          <w:iCs/>
          <w:sz w:val="26"/>
          <w:szCs w:val="26"/>
        </w:rPr>
      </w:pPr>
      <w:r>
        <w:rPr>
          <w:rFonts w:hint="eastAsia"/>
          <w:bCs/>
          <w:iCs/>
          <w:sz w:val="26"/>
          <w:szCs w:val="26"/>
        </w:rPr>
        <w:t>五、规范租赁时间</w:t>
      </w:r>
    </w:p>
    <w:p>
      <w:pPr>
        <w:pStyle w:val="6"/>
        <w:spacing w:line="400" w:lineRule="exact"/>
        <w:ind w:firstLine="520" w:firstLineChars="200"/>
        <w:jc w:val="left"/>
        <w:rPr>
          <w:bCs/>
          <w:iCs/>
          <w:sz w:val="26"/>
          <w:szCs w:val="26"/>
        </w:rPr>
      </w:pPr>
      <w:r>
        <w:rPr>
          <w:rFonts w:hint="eastAsia"/>
          <w:bCs/>
          <w:iCs/>
          <w:sz w:val="26"/>
          <w:szCs w:val="26"/>
        </w:rPr>
        <w:t>高等学校资产租赁期限一般不超过 3 年，确需超过 3 年的，每 2 年一个档期，分期分档确定租赁价格，但最长不得超过 10 年。承租人支付租金，一律在每个支付期前支付。租赁合同期满后按规定仍可对外租赁的，高等学校应当重新报批，未经批准不得续签合同。同等条件下，原承租人可优先获得租赁权。</w:t>
      </w:r>
    </w:p>
    <w:p>
      <w:pPr>
        <w:pStyle w:val="6"/>
        <w:spacing w:line="400" w:lineRule="exact"/>
        <w:ind w:firstLine="520" w:firstLineChars="200"/>
        <w:jc w:val="left"/>
        <w:rPr>
          <w:bCs/>
          <w:iCs/>
          <w:sz w:val="26"/>
          <w:szCs w:val="26"/>
        </w:rPr>
      </w:pPr>
      <w:r>
        <w:rPr>
          <w:rFonts w:hint="eastAsia"/>
          <w:bCs/>
          <w:iCs/>
          <w:sz w:val="26"/>
          <w:szCs w:val="26"/>
        </w:rPr>
        <w:t>六、规范对外投资管理</w:t>
      </w:r>
    </w:p>
    <w:p>
      <w:pPr>
        <w:pStyle w:val="6"/>
        <w:spacing w:line="400" w:lineRule="exact"/>
        <w:ind w:firstLine="520" w:firstLineChars="200"/>
        <w:jc w:val="left"/>
        <w:rPr>
          <w:bCs/>
          <w:iCs/>
          <w:sz w:val="26"/>
          <w:szCs w:val="26"/>
        </w:rPr>
      </w:pPr>
      <w:r>
        <w:rPr>
          <w:rFonts w:hint="eastAsia"/>
          <w:bCs/>
          <w:iCs/>
          <w:sz w:val="26"/>
          <w:szCs w:val="26"/>
        </w:rPr>
        <w:t>高校所办企业要依法建立和完善法人治理结构，健全财务管理制度、资产管理制度、内部监督管理制度和风险控制制度，加强经营管理。对停业停产、严重资不抵债、经营风险较大及不能有效促进学校教学科研事业发展的企业，要进行及时清理、关闭注销。对额度较小、所占股份较低，以及不能为学校发展带来收益的对外投资业务要尽快办理撤资、撤股。</w:t>
      </w:r>
    </w:p>
    <w:p>
      <w:pPr>
        <w:pStyle w:val="6"/>
        <w:spacing w:line="400" w:lineRule="exact"/>
        <w:ind w:firstLine="520" w:firstLineChars="200"/>
        <w:jc w:val="left"/>
        <w:rPr>
          <w:bCs/>
          <w:iCs/>
          <w:sz w:val="26"/>
          <w:szCs w:val="26"/>
        </w:rPr>
      </w:pPr>
      <w:r>
        <w:rPr>
          <w:rFonts w:hint="eastAsia"/>
          <w:bCs/>
          <w:iCs/>
          <w:sz w:val="26"/>
          <w:szCs w:val="26"/>
        </w:rPr>
        <w:t>高等学校对外投资所办企业发生合并、分立、改制、上市、解散、申请破产，以及增减注册资本、投资设立子企业、转让或划转国有股权、股权变动（包括国有股权数量、比例发生变更） 等重大事项，应由各学校向主管部门提出书面申请，经主管部门审核后报省财政厅审批；发生发行债券、提供担保、资产处置、进行捐赠、分配利润、重大投资、大额资金使用等事项，应当经校长办公会研究批准。</w:t>
      </w:r>
    </w:p>
    <w:p>
      <w:pPr>
        <w:pStyle w:val="6"/>
        <w:spacing w:line="400" w:lineRule="exact"/>
        <w:ind w:firstLine="520" w:firstLineChars="200"/>
        <w:jc w:val="left"/>
        <w:rPr>
          <w:bCs/>
          <w:iCs/>
          <w:sz w:val="26"/>
          <w:szCs w:val="26"/>
        </w:rPr>
      </w:pPr>
      <w:r>
        <w:rPr>
          <w:rFonts w:hint="eastAsia"/>
          <w:bCs/>
          <w:iCs/>
          <w:sz w:val="26"/>
          <w:szCs w:val="26"/>
        </w:rPr>
        <w:t>七、规范收入管理</w:t>
      </w:r>
    </w:p>
    <w:p>
      <w:pPr>
        <w:pStyle w:val="6"/>
        <w:spacing w:line="400" w:lineRule="exact"/>
        <w:ind w:firstLine="520" w:firstLineChars="200"/>
        <w:jc w:val="left"/>
        <w:rPr>
          <w:bCs/>
          <w:iCs/>
          <w:sz w:val="26"/>
          <w:szCs w:val="26"/>
        </w:rPr>
      </w:pPr>
      <w:r>
        <w:rPr>
          <w:rFonts w:hint="eastAsia"/>
          <w:bCs/>
          <w:iCs/>
          <w:sz w:val="26"/>
          <w:szCs w:val="26"/>
        </w:rPr>
        <w:t>资产租赁收入及对外投资收益金额上缴学校财务部门按照有关规定统一管理，学校其他部门和个人不得以任何形式隐匿、隐瞒、少收、不收或坐收坐支。</w:t>
      </w:r>
    </w:p>
    <w:p>
      <w:pPr>
        <w:pStyle w:val="6"/>
        <w:spacing w:line="400" w:lineRule="exact"/>
        <w:ind w:firstLine="520" w:firstLineChars="200"/>
        <w:jc w:val="left"/>
        <w:rPr>
          <w:bCs/>
          <w:iCs/>
          <w:sz w:val="26"/>
          <w:szCs w:val="26"/>
        </w:rPr>
      </w:pPr>
      <w:r>
        <w:rPr>
          <w:rFonts w:hint="eastAsia"/>
          <w:bCs/>
          <w:iCs/>
          <w:sz w:val="26"/>
          <w:szCs w:val="26"/>
        </w:rPr>
        <w:t>八、明确责任追究</w:t>
      </w:r>
    </w:p>
    <w:p>
      <w:pPr>
        <w:pStyle w:val="6"/>
        <w:spacing w:line="400" w:lineRule="exact"/>
        <w:ind w:firstLine="520" w:firstLineChars="200"/>
        <w:jc w:val="left"/>
        <w:rPr>
          <w:bCs/>
          <w:iCs/>
          <w:sz w:val="26"/>
          <w:szCs w:val="26"/>
        </w:rPr>
      </w:pPr>
      <w:r>
        <w:rPr>
          <w:rFonts w:hint="eastAsia"/>
          <w:bCs/>
          <w:iCs/>
          <w:sz w:val="26"/>
          <w:szCs w:val="26"/>
        </w:rPr>
        <w:t>减收、免收、缓收租赁收入及对外投资收益的，按照《中华人民共和国预算法》的规定，给予负有直接责任的主管人员和其他直接责任人员依法给予降级、撤职、开除的处分。违反本通知其他规定的，依据《财政违法行为处罚处分条例》（国务院令427 号）规定予以处理，情节严重的，依据法律、法规的有关规定，追究有关行政事业单位及相关责任人员的责任；构成犯罪的， 移送司法机关依法追究刑事责任。</w:t>
      </w:r>
    </w:p>
    <w:p>
      <w:pPr>
        <w:pStyle w:val="6"/>
        <w:spacing w:line="400" w:lineRule="exact"/>
        <w:ind w:firstLine="520" w:firstLineChars="200"/>
        <w:jc w:val="left"/>
        <w:rPr>
          <w:bCs/>
          <w:iCs/>
          <w:sz w:val="26"/>
          <w:szCs w:val="26"/>
        </w:rPr>
      </w:pPr>
    </w:p>
    <w:p>
      <w:pPr>
        <w:pStyle w:val="6"/>
        <w:spacing w:line="400" w:lineRule="exact"/>
        <w:ind w:firstLine="3250" w:firstLineChars="1250"/>
        <w:jc w:val="left"/>
        <w:rPr>
          <w:bCs/>
          <w:iCs/>
          <w:sz w:val="26"/>
          <w:szCs w:val="26"/>
        </w:rPr>
      </w:pPr>
      <w:r>
        <w:rPr>
          <w:rFonts w:hint="eastAsia"/>
          <w:bCs/>
          <w:iCs/>
          <w:sz w:val="26"/>
          <w:szCs w:val="26"/>
        </w:rPr>
        <w:t>山东省教育厅</w:t>
      </w:r>
      <w:r>
        <w:rPr>
          <w:rFonts w:hint="eastAsia"/>
          <w:bCs/>
          <w:iCs/>
          <w:sz w:val="26"/>
          <w:szCs w:val="26"/>
        </w:rPr>
        <w:tab/>
      </w:r>
      <w:r>
        <w:rPr>
          <w:rFonts w:hint="eastAsia"/>
          <w:bCs/>
          <w:iCs/>
          <w:sz w:val="26"/>
          <w:szCs w:val="26"/>
        </w:rPr>
        <w:t>山东省财政厅</w:t>
      </w:r>
    </w:p>
    <w:p>
      <w:pPr>
        <w:pStyle w:val="6"/>
        <w:spacing w:line="400" w:lineRule="exact"/>
        <w:ind w:right="520" w:firstLine="3770" w:firstLineChars="1450"/>
        <w:jc w:val="left"/>
        <w:rPr>
          <w:sz w:val="26"/>
          <w:szCs w:val="26"/>
        </w:rPr>
      </w:pPr>
      <w:r>
        <w:rPr>
          <w:rFonts w:hint="eastAsia"/>
          <w:bCs/>
          <w:iCs/>
          <w:sz w:val="26"/>
          <w:szCs w:val="26"/>
        </w:rPr>
        <w:t>2016 年 12 月 6 日</w:t>
      </w: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p>
    <w:p>
      <w:pPr>
        <w:pStyle w:val="6"/>
        <w:spacing w:line="400" w:lineRule="exact"/>
        <w:ind w:firstLine="520" w:firstLineChars="200"/>
        <w:jc w:val="left"/>
        <w:rPr>
          <w:sz w:val="26"/>
          <w:szCs w:val="26"/>
        </w:rPr>
      </w:pPr>
      <w:r>
        <w:rPr>
          <w:sz w:val="26"/>
          <w:szCs w:val="26"/>
        </w:rPr>
        <w:pict>
          <v:line id="_x0000_s1031" o:spid="_x0000_s1031" o:spt="20" style="position:absolute;left:0pt;margin-left:111.3pt;margin-top:16.5pt;height:0pt;width:442.2pt;mso-position-horizontal-relative:page;mso-wrap-distance-bottom:0pt;mso-wrap-distance-top:0pt;z-index:-251639808;mso-width-relative:page;mso-height-relative:page;" coordsize="21600,21600" o:gfxdata="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M+01QAAAAoBAAAPAAAAAAAAAAEAIAAAACIAAABkcnMvZG93bnJldi54bWxQSwEC&#10;FAAUAAAACACHTuJAjOS3pvcBAADmAwAADgAAAAAAAAABACAAAAAkAQAAZHJzL2Uyb0RvYy54bWxQ&#10;SwUGAAAAAAYABgBZAQAAjQUAAAAA&#10;">
            <v:path arrowok="t"/>
            <v:fill focussize="0,0"/>
            <v:stroke weight="0.72pt"/>
            <v:imagedata o:title=""/>
            <o:lock v:ext="edit"/>
            <w10:wrap type="topAndBottom"/>
          </v:line>
        </w:pict>
      </w:r>
    </w:p>
    <w:p>
      <w:pPr>
        <w:tabs>
          <w:tab w:val="left" w:pos="3357"/>
          <w:tab w:val="left" w:pos="5599"/>
        </w:tabs>
        <w:spacing w:line="400" w:lineRule="exact"/>
        <w:ind w:right="84"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w:t>
      </w:r>
      <w:r>
        <w:rPr>
          <w:rFonts w:hint="eastAsia" w:ascii="方正仿宋简体" w:hAnsi="方正仿宋简体" w:eastAsia="方正仿宋简体" w:cs="方正仿宋简体"/>
          <w:spacing w:val="-3"/>
          <w:sz w:val="26"/>
          <w:szCs w:val="26"/>
        </w:rPr>
        <w:t>省</w:t>
      </w:r>
      <w:r>
        <w:rPr>
          <w:rFonts w:hint="eastAsia" w:ascii="方正仿宋简体" w:hAnsi="方正仿宋简体" w:eastAsia="方正仿宋简体" w:cs="方正仿宋简体"/>
          <w:sz w:val="26"/>
          <w:szCs w:val="26"/>
        </w:rPr>
        <w:t>教育</w:t>
      </w:r>
      <w:r>
        <w:rPr>
          <w:rFonts w:hint="eastAsia" w:ascii="方正仿宋简体" w:hAnsi="方正仿宋简体" w:eastAsia="方正仿宋简体" w:cs="方正仿宋简体"/>
          <w:spacing w:val="-3"/>
          <w:sz w:val="26"/>
          <w:szCs w:val="26"/>
        </w:rPr>
        <w:t>厅办</w:t>
      </w:r>
      <w:r>
        <w:rPr>
          <w:rFonts w:hint="eastAsia" w:ascii="方正仿宋简体" w:hAnsi="方正仿宋简体" w:eastAsia="方正仿宋简体" w:cs="方正仿宋简体"/>
          <w:sz w:val="26"/>
          <w:szCs w:val="26"/>
        </w:rPr>
        <w:t>公室</w:t>
      </w:r>
      <w:r>
        <w:rPr>
          <w:rFonts w:hint="eastAsia" w:ascii="方正仿宋简体" w:hAnsi="方正仿宋简体" w:eastAsia="方正仿宋简体" w:cs="方正仿宋简体"/>
          <w:sz w:val="26"/>
          <w:szCs w:val="26"/>
        </w:rPr>
        <w:tab/>
      </w:r>
      <w:r>
        <w:rPr>
          <w:rFonts w:hint="eastAsia" w:ascii="方正仿宋简体" w:hAnsi="方正仿宋简体" w:eastAsia="方正仿宋简体" w:cs="方正仿宋简体"/>
          <w:sz w:val="26"/>
          <w:szCs w:val="26"/>
        </w:rPr>
        <w:t>依申</w:t>
      </w:r>
      <w:r>
        <w:rPr>
          <w:rFonts w:hint="eastAsia" w:ascii="方正仿宋简体" w:hAnsi="方正仿宋简体" w:eastAsia="方正仿宋简体" w:cs="方正仿宋简体"/>
          <w:spacing w:val="-3"/>
          <w:sz w:val="26"/>
          <w:szCs w:val="26"/>
        </w:rPr>
        <w:t>请</w:t>
      </w:r>
      <w:r>
        <w:rPr>
          <w:rFonts w:hint="eastAsia" w:ascii="方正仿宋简体" w:hAnsi="方正仿宋简体" w:eastAsia="方正仿宋简体" w:cs="方正仿宋简体"/>
          <w:sz w:val="26"/>
          <w:szCs w:val="26"/>
        </w:rPr>
        <w:t>公开</w:t>
      </w:r>
      <w:r>
        <w:rPr>
          <w:rFonts w:hint="eastAsia" w:ascii="方正仿宋简体" w:hAnsi="方正仿宋简体" w:eastAsia="方正仿宋简体" w:cs="方正仿宋简体"/>
          <w:sz w:val="26"/>
          <w:szCs w:val="26"/>
        </w:rPr>
        <w:tab/>
      </w:r>
      <w:r>
        <w:rPr>
          <w:rFonts w:hint="eastAsia" w:ascii="方正仿宋简体" w:hAnsi="方正仿宋简体" w:eastAsia="方正仿宋简体" w:cs="方正仿宋简体"/>
          <w:sz w:val="26"/>
          <w:szCs w:val="26"/>
        </w:rPr>
        <w:t>2016</w:t>
      </w:r>
      <w:r>
        <w:rPr>
          <w:rFonts w:hint="eastAsia" w:ascii="方正仿宋简体" w:hAnsi="方正仿宋简体" w:eastAsia="方正仿宋简体" w:cs="方正仿宋简体"/>
          <w:spacing w:val="-72"/>
          <w:sz w:val="26"/>
          <w:szCs w:val="26"/>
        </w:rPr>
        <w:t xml:space="preserve"> </w:t>
      </w:r>
      <w:r>
        <w:rPr>
          <w:rFonts w:hint="eastAsia" w:ascii="方正仿宋简体" w:hAnsi="方正仿宋简体" w:eastAsia="方正仿宋简体" w:cs="方正仿宋简体"/>
          <w:sz w:val="26"/>
          <w:szCs w:val="26"/>
        </w:rPr>
        <w:t>年</w:t>
      </w:r>
      <w:r>
        <w:rPr>
          <w:rFonts w:hint="eastAsia" w:ascii="方正仿宋简体" w:hAnsi="方正仿宋简体" w:eastAsia="方正仿宋简体" w:cs="方正仿宋简体"/>
          <w:spacing w:val="-71"/>
          <w:sz w:val="26"/>
          <w:szCs w:val="26"/>
        </w:rPr>
        <w:t xml:space="preserve"> </w:t>
      </w:r>
      <w:r>
        <w:rPr>
          <w:rFonts w:hint="eastAsia" w:ascii="方正仿宋简体" w:hAnsi="方正仿宋简体" w:eastAsia="方正仿宋简体" w:cs="方正仿宋简体"/>
          <w:sz w:val="26"/>
          <w:szCs w:val="26"/>
        </w:rPr>
        <w:t>12</w:t>
      </w:r>
      <w:r>
        <w:rPr>
          <w:rFonts w:hint="eastAsia" w:ascii="方正仿宋简体" w:hAnsi="方正仿宋简体" w:eastAsia="方正仿宋简体" w:cs="方正仿宋简体"/>
          <w:spacing w:val="-71"/>
          <w:sz w:val="26"/>
          <w:szCs w:val="26"/>
        </w:rPr>
        <w:t xml:space="preserve"> </w:t>
      </w:r>
      <w:r>
        <w:rPr>
          <w:rFonts w:hint="eastAsia" w:ascii="方正仿宋简体" w:hAnsi="方正仿宋简体" w:eastAsia="方正仿宋简体" w:cs="方正仿宋简体"/>
          <w:sz w:val="26"/>
          <w:szCs w:val="26"/>
        </w:rPr>
        <w:t>月</w:t>
      </w:r>
      <w:r>
        <w:rPr>
          <w:rFonts w:hint="eastAsia" w:ascii="方正仿宋简体" w:hAnsi="方正仿宋简体" w:eastAsia="方正仿宋简体" w:cs="方正仿宋简体"/>
          <w:spacing w:val="-71"/>
          <w:sz w:val="26"/>
          <w:szCs w:val="26"/>
        </w:rPr>
        <w:t xml:space="preserve"> </w:t>
      </w:r>
      <w:r>
        <w:rPr>
          <w:rFonts w:hint="eastAsia" w:ascii="方正仿宋简体" w:hAnsi="方正仿宋简体" w:eastAsia="方正仿宋简体" w:cs="方正仿宋简体"/>
          <w:sz w:val="26"/>
          <w:szCs w:val="26"/>
        </w:rPr>
        <w:t>6</w:t>
      </w:r>
      <w:r>
        <w:rPr>
          <w:rFonts w:hint="eastAsia" w:ascii="方正仿宋简体" w:hAnsi="方正仿宋简体" w:eastAsia="方正仿宋简体" w:cs="方正仿宋简体"/>
          <w:spacing w:val="-71"/>
          <w:sz w:val="26"/>
          <w:szCs w:val="26"/>
        </w:rPr>
        <w:t xml:space="preserve"> </w:t>
      </w:r>
      <w:r>
        <w:rPr>
          <w:rFonts w:hint="eastAsia" w:ascii="方正仿宋简体" w:hAnsi="方正仿宋简体" w:eastAsia="方正仿宋简体" w:cs="方正仿宋简体"/>
          <w:sz w:val="26"/>
          <w:szCs w:val="26"/>
        </w:rPr>
        <w:t>日印发</w:t>
      </w:r>
    </w:p>
    <w:p>
      <w:pPr>
        <w:pStyle w:val="6"/>
        <w:spacing w:line="400" w:lineRule="exact"/>
        <w:ind w:left="125" w:firstLine="520" w:firstLineChars="200"/>
        <w:jc w:val="left"/>
        <w:rPr>
          <w:sz w:val="26"/>
          <w:szCs w:val="26"/>
        </w:rPr>
      </w:pPr>
    </w:p>
    <w:p>
      <w:pPr>
        <w:tabs>
          <w:tab w:val="left" w:pos="5759"/>
        </w:tabs>
        <w:spacing w:line="400" w:lineRule="exact"/>
        <w:ind w:right="97" w:firstLine="520" w:firstLineChars="200"/>
        <w:jc w:val="left"/>
        <w:rPr>
          <w:rFonts w:ascii="方正仿宋简体" w:hAnsi="方正仿宋简体" w:eastAsia="方正仿宋简体" w:cs="方正仿宋简体"/>
          <w:sz w:val="26"/>
          <w:szCs w:val="26"/>
        </w:rPr>
      </w:pPr>
    </w:p>
    <w:p>
      <w:pPr>
        <w:tabs>
          <w:tab w:val="left" w:pos="5759"/>
        </w:tabs>
        <w:spacing w:line="400" w:lineRule="exact"/>
        <w:ind w:right="97"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校对：王长涛</w:t>
      </w:r>
      <w:r>
        <w:rPr>
          <w:rFonts w:hint="eastAsia" w:ascii="方正仿宋简体" w:hAnsi="方正仿宋简体" w:eastAsia="方正仿宋简体" w:cs="方正仿宋简体"/>
          <w:sz w:val="26"/>
          <w:szCs w:val="26"/>
        </w:rPr>
        <w:tab/>
      </w:r>
      <w:r>
        <w:rPr>
          <w:rFonts w:hint="eastAsia" w:ascii="方正仿宋简体" w:hAnsi="方正仿宋简体" w:eastAsia="方正仿宋简体" w:cs="方正仿宋简体"/>
          <w:sz w:val="26"/>
          <w:szCs w:val="26"/>
        </w:rPr>
        <w:t>共印</w:t>
      </w:r>
      <w:r>
        <w:rPr>
          <w:rFonts w:hint="eastAsia" w:ascii="方正仿宋简体" w:hAnsi="方正仿宋简体" w:eastAsia="方正仿宋简体" w:cs="方正仿宋简体"/>
          <w:spacing w:val="-60"/>
          <w:sz w:val="26"/>
          <w:szCs w:val="26"/>
        </w:rPr>
        <w:t xml:space="preserve"> </w:t>
      </w:r>
      <w:r>
        <w:rPr>
          <w:rFonts w:hint="eastAsia" w:ascii="方正仿宋简体" w:hAnsi="方正仿宋简体" w:eastAsia="方正仿宋简体" w:cs="方正仿宋简体"/>
          <w:sz w:val="26"/>
          <w:szCs w:val="26"/>
        </w:rPr>
        <w:t>120</w:t>
      </w:r>
      <w:r>
        <w:rPr>
          <w:rFonts w:hint="eastAsia" w:ascii="方正仿宋简体" w:hAnsi="方正仿宋简体" w:eastAsia="方正仿宋简体" w:cs="方正仿宋简体"/>
          <w:spacing w:val="-60"/>
          <w:sz w:val="26"/>
          <w:szCs w:val="26"/>
        </w:rPr>
        <w:t xml:space="preserve"> </w:t>
      </w:r>
      <w:r>
        <w:rPr>
          <w:rFonts w:hint="eastAsia" w:ascii="方正仿宋简体" w:hAnsi="方正仿宋简体" w:eastAsia="方正仿宋简体" w:cs="方正仿宋简体"/>
          <w:sz w:val="26"/>
          <w:szCs w:val="26"/>
        </w:rPr>
        <w:t>份</w:t>
      </w:r>
    </w:p>
    <w:p>
      <w:pPr>
        <w:pStyle w:val="6"/>
        <w:spacing w:line="400" w:lineRule="exact"/>
        <w:ind w:firstLine="520" w:firstLineChars="200"/>
        <w:jc w:val="left"/>
        <w:rPr>
          <w:sz w:val="26"/>
          <w:szCs w:val="26"/>
        </w:rPr>
      </w:pPr>
      <w:r>
        <w:rPr>
          <w:sz w:val="26"/>
          <w:szCs w:val="26"/>
        </w:rPr>
        <w:pict>
          <v:group id="_x0000_s1029" o:spid="_x0000_s1029" o:spt="203" style="height:0.75pt;width:442.2pt;" coordsize="8844,15203" o:gfxdata="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55+FXUAAAAAwEAAA8AAAAAAAAAAQAgAAAAIgAAAGRycy9kb3ducmV2LnhtbFBLAQIU&#10;ABQAAAAIAIdO4kATomxEaQIAADQFAAAOAAAAAAAAAAEAIAAAACMBAABkcnMvZTJvRG9jLnhtbFBL&#10;BQYAAAAABgAGAFkBAAD+BQAAAAA=&#10;">
            <o:lock v:ext="edit"/>
            <v:line id="_x0000_s1030" o:spid="_x0000_s1030" o:spt="20" style="position:absolute;left:0;top:7;height:0;width:8844;" coordsize="21600,21600" o:gfxdata="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L4YvQAA&#10;ANsAAAAPAAAAAAAAAAEAIAAAACIAAABkcnMvZG93bnJldi54bWxQSwECFAAUAAAACACHTuJAMy8F&#10;njsAAAA5AAAAEAAAAAAAAAABACAAAAAMAQAAZHJzL3NoYXBleG1sLnhtbFBLBQYAAAAABgAGAFsB&#10;AAC2AwAAAAA=&#10;">
              <v:path arrowok="t"/>
              <v:fill focussize="0,0"/>
              <v:stroke weight="0.72pt"/>
              <v:imagedata o:title=""/>
              <o:lock v:ext="edit"/>
            </v:line>
            <w10:wrap type="none"/>
            <w10:anchorlock/>
          </v:group>
        </w:pic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(八)无形资产管理</w:t>
      </w: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spacing w:line="400" w:lineRule="exact"/>
        <w:ind w:firstLine="800" w:firstLineChars="200"/>
        <w:jc w:val="center"/>
        <w:rPr>
          <w:rFonts w:ascii="方正小标宋简体" w:hAnsi="方正仿宋简体" w:eastAsia="方正小标宋简体" w:cs="方正仿宋简体"/>
          <w:sz w:val="40"/>
          <w:szCs w:val="40"/>
        </w:rPr>
      </w:pPr>
    </w:p>
    <w:p>
      <w:pPr>
        <w:pStyle w:val="4"/>
        <w:spacing w:line="400" w:lineRule="exact"/>
        <w:ind w:firstLine="640" w:firstLineChars="200"/>
        <w:rPr>
          <w:rFonts w:hAnsiTheme="minorHAnsi" w:cstheme="minorBidi"/>
          <w:bCs w:val="0"/>
          <w:sz w:val="32"/>
          <w:szCs w:val="21"/>
          <w:lang w:val="en-US" w:bidi="ar-SA"/>
        </w:rPr>
      </w:pPr>
      <w:r>
        <w:rPr>
          <w:rFonts w:hint="eastAsia" w:hAnsiTheme="minorHAnsi" w:cstheme="minorBidi"/>
          <w:bCs w:val="0"/>
          <w:sz w:val="32"/>
          <w:szCs w:val="21"/>
          <w:lang w:val="en-US" w:bidi="ar-SA"/>
        </w:rPr>
        <w:t>高等学校知识产权保护管理规定</w:t>
      </w:r>
    </w:p>
    <w:p>
      <w:pPr>
        <w:pStyle w:val="6"/>
        <w:spacing w:line="400" w:lineRule="exact"/>
        <w:ind w:firstLine="520" w:firstLineChars="200"/>
        <w:jc w:val="left"/>
        <w:rPr>
          <w:sz w:val="26"/>
          <w:szCs w:val="26"/>
        </w:rPr>
      </w:pPr>
      <w:r>
        <w:rPr>
          <w:rFonts w:hint="eastAsia"/>
          <w:sz w:val="26"/>
          <w:szCs w:val="26"/>
        </w:rPr>
        <w:t>（１９９８年１２月１日教育部部长办公会议讨论通过，１９９９年４月８日中华人民共和国教育部第３号令发布施行）</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 总 则</w:t>
      </w:r>
    </w:p>
    <w:p>
      <w:pPr>
        <w:pStyle w:val="6"/>
        <w:spacing w:line="400" w:lineRule="exact"/>
        <w:ind w:firstLine="520" w:firstLineChars="200"/>
        <w:jc w:val="left"/>
        <w:rPr>
          <w:spacing w:val="-9"/>
          <w:sz w:val="26"/>
          <w:szCs w:val="26"/>
        </w:rPr>
      </w:pPr>
      <w:r>
        <w:rPr>
          <w:rFonts w:hint="eastAsia" w:ascii="楷体" w:hAnsi="楷体" w:eastAsia="楷体" w:cs="楷体"/>
          <w:sz w:val="26"/>
          <w:szCs w:val="26"/>
        </w:rPr>
        <w:t xml:space="preserve">第一条 </w:t>
      </w:r>
      <w:r>
        <w:rPr>
          <w:rFonts w:hint="eastAsia"/>
          <w:sz w:val="26"/>
          <w:szCs w:val="26"/>
        </w:rPr>
        <w:t>为有效保护高等学校知识产权，鼓励广大教职员工</w:t>
      </w:r>
      <w:r>
        <w:rPr>
          <w:rFonts w:hint="eastAsia"/>
          <w:spacing w:val="6"/>
          <w:sz w:val="26"/>
          <w:szCs w:val="26"/>
        </w:rPr>
        <w:t>和学生发明创造和智力创作的积极性，发挥高等学校的智力优</w:t>
      </w:r>
      <w:r>
        <w:rPr>
          <w:rFonts w:hint="eastAsia"/>
          <w:spacing w:val="-9"/>
          <w:sz w:val="26"/>
          <w:szCs w:val="26"/>
        </w:rPr>
        <w:t>势，促进科技成果产业化，依据国家知识产权法律、法规，制定本规定。</w:t>
      </w:r>
    </w:p>
    <w:p>
      <w:pPr>
        <w:pStyle w:val="6"/>
        <w:spacing w:line="400" w:lineRule="exact"/>
        <w:ind w:firstLine="516" w:firstLineChars="200"/>
        <w:jc w:val="left"/>
        <w:rPr>
          <w:spacing w:val="6"/>
          <w:sz w:val="26"/>
          <w:szCs w:val="26"/>
        </w:rPr>
      </w:pPr>
      <w:r>
        <w:rPr>
          <w:rFonts w:hint="eastAsia" w:ascii="楷体" w:hAnsi="楷体" w:eastAsia="楷体" w:cs="楷体"/>
          <w:spacing w:val="-1"/>
          <w:sz w:val="26"/>
          <w:szCs w:val="26"/>
        </w:rPr>
        <w:t>第二条</w:t>
      </w:r>
      <w:r>
        <w:rPr>
          <w:rFonts w:hint="eastAsia"/>
          <w:spacing w:val="-1"/>
          <w:sz w:val="26"/>
          <w:szCs w:val="26"/>
        </w:rPr>
        <w:t xml:space="preserve"> </w:t>
      </w:r>
      <w:r>
        <w:rPr>
          <w:rFonts w:hint="eastAsia"/>
          <w:spacing w:val="6"/>
          <w:sz w:val="26"/>
          <w:szCs w:val="26"/>
        </w:rPr>
        <w:t>本规定适用于国家举办的高等学校、高等学校所属教学科研机构和企业事业单位（以下简称“所属单位”）。社会力量举办的高等学校及其他教育机构参照适用本规定。</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第三条</w:t>
      </w:r>
      <w:r>
        <w:rPr>
          <w:rFonts w:hint="eastAsia" w:ascii="楷体" w:hAnsi="楷体" w:eastAsia="楷体" w:cs="楷体"/>
          <w:sz w:val="26"/>
          <w:szCs w:val="26"/>
        </w:rPr>
        <w:t xml:space="preserve"> </w:t>
      </w:r>
      <w:r>
        <w:rPr>
          <w:rFonts w:hint="eastAsia"/>
          <w:sz w:val="26"/>
          <w:szCs w:val="26"/>
        </w:rPr>
        <w:t>本规定所称的知识产权包括：</w:t>
      </w:r>
    </w:p>
    <w:p>
      <w:pPr>
        <w:pStyle w:val="6"/>
        <w:spacing w:line="400" w:lineRule="exact"/>
        <w:ind w:firstLine="520" w:firstLineChars="200"/>
        <w:jc w:val="left"/>
        <w:rPr>
          <w:sz w:val="26"/>
          <w:szCs w:val="26"/>
        </w:rPr>
      </w:pPr>
      <w:r>
        <w:rPr>
          <w:rFonts w:hint="eastAsia"/>
          <w:sz w:val="26"/>
          <w:szCs w:val="26"/>
        </w:rPr>
        <w:t>（一）专利权、商标权；</w:t>
      </w:r>
    </w:p>
    <w:p>
      <w:pPr>
        <w:pStyle w:val="6"/>
        <w:spacing w:line="400" w:lineRule="exact"/>
        <w:ind w:firstLine="520" w:firstLineChars="200"/>
        <w:jc w:val="left"/>
        <w:rPr>
          <w:sz w:val="26"/>
          <w:szCs w:val="26"/>
        </w:rPr>
      </w:pPr>
      <w:r>
        <w:rPr>
          <w:rFonts w:hint="eastAsia"/>
          <w:sz w:val="26"/>
          <w:szCs w:val="26"/>
        </w:rPr>
        <w:t>（二）技术秘密和商业秘密；</w:t>
      </w:r>
    </w:p>
    <w:p>
      <w:pPr>
        <w:pStyle w:val="6"/>
        <w:spacing w:line="400" w:lineRule="exact"/>
        <w:ind w:firstLine="520" w:firstLineChars="200"/>
        <w:jc w:val="left"/>
        <w:rPr>
          <w:sz w:val="26"/>
          <w:szCs w:val="26"/>
        </w:rPr>
      </w:pPr>
      <w:r>
        <w:rPr>
          <w:rFonts w:hint="eastAsia"/>
          <w:sz w:val="26"/>
          <w:szCs w:val="26"/>
        </w:rPr>
        <w:t>（三）著作权及其邻接权；</w:t>
      </w:r>
    </w:p>
    <w:p>
      <w:pPr>
        <w:pStyle w:val="6"/>
        <w:spacing w:line="400" w:lineRule="exact"/>
        <w:ind w:firstLine="520" w:firstLineChars="200"/>
        <w:jc w:val="left"/>
        <w:rPr>
          <w:sz w:val="26"/>
          <w:szCs w:val="26"/>
        </w:rPr>
      </w:pPr>
      <w:r>
        <w:rPr>
          <w:rFonts w:hint="eastAsia"/>
          <w:sz w:val="26"/>
          <w:szCs w:val="26"/>
        </w:rPr>
        <w:t>（四）高等学校的校标和各种服务标记；</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方正仿宋简体" w:hAnsi="方正仿宋简体" w:eastAsia="方正仿宋简体" w:cs="方正仿宋简体"/>
          <w:sz w:val="26"/>
          <w:szCs w:val="26"/>
        </w:rPr>
        <w:t>（五）依照国家法律、法规规定或者依法由合同约定由高等学校享有或持有的其它知识产权。</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 任务和职责</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第四条</w:t>
      </w:r>
      <w:r>
        <w:rPr>
          <w:rFonts w:hint="eastAsia" w:ascii="楷体" w:hAnsi="楷体" w:eastAsia="楷体" w:cs="楷体"/>
          <w:sz w:val="26"/>
          <w:szCs w:val="26"/>
        </w:rPr>
        <w:t xml:space="preserve"> </w:t>
      </w:r>
      <w:r>
        <w:rPr>
          <w:rFonts w:hint="eastAsia"/>
          <w:sz w:val="26"/>
          <w:szCs w:val="26"/>
        </w:rPr>
        <w:t>高等学校知识产权保护工作的任务是：</w:t>
      </w:r>
    </w:p>
    <w:p>
      <w:pPr>
        <w:pStyle w:val="6"/>
        <w:spacing w:line="400" w:lineRule="exact"/>
        <w:ind w:firstLine="520" w:firstLineChars="200"/>
        <w:jc w:val="left"/>
        <w:rPr>
          <w:sz w:val="26"/>
          <w:szCs w:val="26"/>
        </w:rPr>
      </w:pPr>
      <w:r>
        <w:rPr>
          <w:rFonts w:hint="eastAsia"/>
          <w:sz w:val="26"/>
          <w:szCs w:val="26"/>
        </w:rPr>
        <w:t>（一）贯彻执行国家知识产权法律、法规，制定高等学校知识产权保护工作的方针、政策和规划；</w:t>
      </w:r>
    </w:p>
    <w:p>
      <w:pPr>
        <w:pStyle w:val="6"/>
        <w:spacing w:line="400" w:lineRule="exact"/>
        <w:ind w:firstLine="520" w:firstLineChars="200"/>
        <w:jc w:val="left"/>
        <w:rPr>
          <w:sz w:val="26"/>
          <w:szCs w:val="26"/>
        </w:rPr>
      </w:pPr>
      <w:r>
        <w:rPr>
          <w:rFonts w:hint="eastAsia"/>
          <w:sz w:val="26"/>
          <w:szCs w:val="26"/>
        </w:rPr>
        <w:t>（二）宣传、普及知识产权法律知识，增强高等学校知识产权保护意识和能力；</w:t>
      </w:r>
    </w:p>
    <w:p>
      <w:pPr>
        <w:pStyle w:val="6"/>
        <w:spacing w:line="400" w:lineRule="exact"/>
        <w:ind w:firstLine="520" w:firstLineChars="200"/>
        <w:jc w:val="left"/>
        <w:rPr>
          <w:sz w:val="26"/>
          <w:szCs w:val="26"/>
        </w:rPr>
      </w:pPr>
      <w:r>
        <w:rPr>
          <w:rFonts w:hint="eastAsia"/>
          <w:sz w:val="26"/>
          <w:szCs w:val="26"/>
        </w:rPr>
        <w:t>（三）进一步完善高等学校知识产权管理制度，切实加强高等学校知识产权保护工作；</w:t>
      </w:r>
    </w:p>
    <w:p>
      <w:pPr>
        <w:pStyle w:val="6"/>
        <w:spacing w:line="400" w:lineRule="exact"/>
        <w:ind w:firstLine="520" w:firstLineChars="200"/>
        <w:jc w:val="left"/>
        <w:rPr>
          <w:sz w:val="26"/>
          <w:szCs w:val="26"/>
        </w:rPr>
      </w:pPr>
      <w:r>
        <w:rPr>
          <w:rFonts w:hint="eastAsia"/>
          <w:sz w:val="26"/>
          <w:szCs w:val="26"/>
        </w:rPr>
        <w:t>（四</w:t>
      </w:r>
      <w:r>
        <w:rPr>
          <w:rFonts w:hint="eastAsia"/>
          <w:spacing w:val="-47"/>
          <w:sz w:val="26"/>
          <w:szCs w:val="26"/>
        </w:rPr>
        <w:t>）</w:t>
      </w:r>
      <w:r>
        <w:rPr>
          <w:rFonts w:hint="eastAsia"/>
          <w:spacing w:val="-1"/>
          <w:sz w:val="26"/>
          <w:szCs w:val="26"/>
        </w:rPr>
        <w:t>积极促进和规范管理高等学校科学技术成果及其他智</w:t>
      </w:r>
      <w:r>
        <w:rPr>
          <w:rFonts w:hint="eastAsia"/>
          <w:sz w:val="26"/>
          <w:szCs w:val="26"/>
        </w:rPr>
        <w:t>力成果的开发、使用、转让和科技产业的发展。</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第五条</w:t>
      </w:r>
      <w:r>
        <w:rPr>
          <w:rFonts w:hint="eastAsia" w:ascii="楷体" w:hAnsi="楷体" w:eastAsia="楷体" w:cs="楷体"/>
          <w:sz w:val="26"/>
          <w:szCs w:val="26"/>
        </w:rPr>
        <w:t xml:space="preserve"> </w:t>
      </w:r>
      <w:r>
        <w:rPr>
          <w:rFonts w:hint="eastAsia"/>
          <w:sz w:val="26"/>
          <w:szCs w:val="26"/>
        </w:rPr>
        <w:t>国务院教育行政部门和各省、自治区、直辖市人民</w:t>
      </w:r>
      <w:r>
        <w:rPr>
          <w:rFonts w:hint="eastAsia"/>
          <w:spacing w:val="-9"/>
          <w:sz w:val="26"/>
          <w:szCs w:val="26"/>
        </w:rPr>
        <w:t>政府教育行政部门，在其职责范围内，负责对全国或本行政区域</w:t>
      </w:r>
      <w:r>
        <w:rPr>
          <w:rFonts w:hint="eastAsia"/>
          <w:spacing w:val="-20"/>
          <w:sz w:val="26"/>
          <w:szCs w:val="26"/>
        </w:rPr>
        <w:t>的高等学校知识产权工作进行领导和宏观管理，全面规划、推动、</w:t>
      </w:r>
      <w:r>
        <w:rPr>
          <w:rFonts w:hint="eastAsia"/>
          <w:sz w:val="26"/>
          <w:szCs w:val="26"/>
        </w:rPr>
        <w:t>指导和监督高等学校知识产权保护工作的开展。</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第六条</w:t>
      </w:r>
      <w:r>
        <w:rPr>
          <w:rFonts w:hint="eastAsia"/>
          <w:sz w:val="26"/>
          <w:szCs w:val="26"/>
        </w:rPr>
        <w:t xml:space="preserve"> 各高等学校在知识产权保护工作中应当履行的职责是：</w:t>
      </w:r>
    </w:p>
    <w:p>
      <w:pPr>
        <w:pStyle w:val="6"/>
        <w:spacing w:line="400" w:lineRule="exact"/>
        <w:ind w:firstLine="520" w:firstLineChars="200"/>
        <w:jc w:val="left"/>
        <w:rPr>
          <w:sz w:val="26"/>
          <w:szCs w:val="26"/>
        </w:rPr>
      </w:pPr>
      <w:r>
        <w:rPr>
          <w:rFonts w:hint="eastAsia"/>
          <w:sz w:val="26"/>
          <w:szCs w:val="26"/>
        </w:rPr>
        <w:t>（一）结合本校的实际情况，制定知识产权工作的具体规划和保护规定；</w:t>
      </w:r>
    </w:p>
    <w:p>
      <w:pPr>
        <w:pStyle w:val="6"/>
        <w:spacing w:line="400" w:lineRule="exact"/>
        <w:ind w:firstLine="520" w:firstLineChars="200"/>
        <w:jc w:val="left"/>
        <w:rPr>
          <w:sz w:val="26"/>
          <w:szCs w:val="26"/>
        </w:rPr>
      </w:pPr>
      <w:r>
        <w:rPr>
          <w:rFonts w:hint="eastAsia"/>
          <w:sz w:val="26"/>
          <w:szCs w:val="26"/>
        </w:rPr>
        <w:t>（二）加强对知识产权保护工作的组织和领导，完善本校知识产权保护制度，加强本校知识产权工作机构和队伍建设；</w:t>
      </w:r>
    </w:p>
    <w:p>
      <w:pPr>
        <w:pStyle w:val="6"/>
        <w:spacing w:line="400" w:lineRule="exact"/>
        <w:ind w:firstLine="520" w:firstLineChars="200"/>
        <w:jc w:val="left"/>
        <w:rPr>
          <w:sz w:val="26"/>
          <w:szCs w:val="26"/>
        </w:rPr>
      </w:pPr>
      <w:r>
        <w:rPr>
          <w:rFonts w:hint="eastAsia"/>
          <w:sz w:val="26"/>
          <w:szCs w:val="26"/>
        </w:rPr>
        <w:t>（三）组织知识产权法律、法规的教育和培训，开展知识产权课程教学和研究工作；</w:t>
      </w:r>
    </w:p>
    <w:p>
      <w:pPr>
        <w:pStyle w:val="6"/>
        <w:spacing w:line="400" w:lineRule="exact"/>
        <w:ind w:firstLine="520" w:firstLineChars="200"/>
        <w:jc w:val="left"/>
        <w:rPr>
          <w:sz w:val="26"/>
          <w:szCs w:val="26"/>
        </w:rPr>
      </w:pPr>
      <w:r>
        <w:rPr>
          <w:rFonts w:hint="eastAsia"/>
          <w:sz w:val="26"/>
          <w:szCs w:val="26"/>
        </w:rPr>
        <w:t>（四）组织开展本校知识产权的鉴定、申请、登记、注册、评估和管理工作；</w:t>
      </w:r>
    </w:p>
    <w:p>
      <w:pPr>
        <w:pStyle w:val="6"/>
        <w:spacing w:line="400" w:lineRule="exact"/>
        <w:ind w:firstLine="520" w:firstLineChars="200"/>
        <w:jc w:val="left"/>
        <w:rPr>
          <w:sz w:val="26"/>
          <w:szCs w:val="26"/>
        </w:rPr>
      </w:pPr>
      <w:r>
        <w:rPr>
          <w:rFonts w:hint="eastAsia"/>
          <w:sz w:val="26"/>
          <w:szCs w:val="26"/>
        </w:rPr>
        <w:t>（五）组织签订、审核本校知识产权的开发、使用和转让合同；</w:t>
      </w:r>
    </w:p>
    <w:p>
      <w:pPr>
        <w:pStyle w:val="6"/>
        <w:spacing w:line="400" w:lineRule="exact"/>
        <w:ind w:firstLine="520" w:firstLineChars="200"/>
        <w:jc w:val="left"/>
        <w:rPr>
          <w:sz w:val="26"/>
          <w:szCs w:val="26"/>
        </w:rPr>
      </w:pPr>
      <w:r>
        <w:rPr>
          <w:rFonts w:hint="eastAsia"/>
          <w:sz w:val="26"/>
          <w:szCs w:val="26"/>
        </w:rPr>
        <w:t>（六）协调解决本校内部有关知识产权的争议和纠纷；</w:t>
      </w:r>
    </w:p>
    <w:p>
      <w:pPr>
        <w:pStyle w:val="6"/>
        <w:spacing w:line="400" w:lineRule="exact"/>
        <w:ind w:firstLine="520" w:firstLineChars="200"/>
        <w:jc w:val="left"/>
        <w:rPr>
          <w:sz w:val="26"/>
          <w:szCs w:val="26"/>
        </w:rPr>
      </w:pPr>
      <w:r>
        <w:rPr>
          <w:rFonts w:hint="eastAsia"/>
          <w:sz w:val="26"/>
          <w:szCs w:val="26"/>
        </w:rPr>
        <w:t>（七）对在科技开发、技术转移以及知识产权保护工作中有突出贡献人员予以奖励；</w:t>
      </w:r>
    </w:p>
    <w:p>
      <w:pPr>
        <w:pStyle w:val="6"/>
        <w:spacing w:line="400" w:lineRule="exact"/>
        <w:ind w:firstLine="520" w:firstLineChars="200"/>
        <w:jc w:val="left"/>
        <w:rPr>
          <w:sz w:val="26"/>
          <w:szCs w:val="26"/>
        </w:rPr>
      </w:pPr>
      <w:r>
        <w:rPr>
          <w:rFonts w:hint="eastAsia"/>
          <w:sz w:val="26"/>
          <w:szCs w:val="26"/>
        </w:rPr>
        <w:t>（八）组织开展本校有关知识产权保护工作的国际交流与合作；</w:t>
      </w:r>
    </w:p>
    <w:p>
      <w:pPr>
        <w:pStyle w:val="6"/>
        <w:spacing w:line="400" w:lineRule="exact"/>
        <w:ind w:firstLine="520" w:firstLineChars="200"/>
        <w:jc w:val="left"/>
        <w:rPr>
          <w:sz w:val="26"/>
          <w:szCs w:val="26"/>
        </w:rPr>
      </w:pPr>
      <w:r>
        <w:rPr>
          <w:rFonts w:hint="eastAsia"/>
          <w:sz w:val="26"/>
          <w:szCs w:val="26"/>
        </w:rPr>
        <w:t>（九）其他在知识产权保护工作中应当履行的职责。</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第三章 知识产权归属</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第七条</w:t>
      </w:r>
      <w:r>
        <w:rPr>
          <w:rFonts w:hint="eastAsia"/>
          <w:sz w:val="26"/>
          <w:szCs w:val="26"/>
        </w:rPr>
        <w:t xml:space="preserve"> 高等学校对以下标识依法享有专用权：</w:t>
      </w:r>
    </w:p>
    <w:p>
      <w:pPr>
        <w:pStyle w:val="6"/>
        <w:spacing w:line="400" w:lineRule="exact"/>
        <w:ind w:firstLine="520" w:firstLineChars="200"/>
        <w:jc w:val="left"/>
        <w:rPr>
          <w:sz w:val="26"/>
          <w:szCs w:val="26"/>
        </w:rPr>
      </w:pPr>
      <w:r>
        <w:rPr>
          <w:rFonts w:hint="eastAsia"/>
          <w:sz w:val="26"/>
          <w:szCs w:val="26"/>
        </w:rPr>
        <w:t>（一）以高等学校名义申请注册的商标；</w:t>
      </w:r>
    </w:p>
    <w:p>
      <w:pPr>
        <w:pStyle w:val="6"/>
        <w:spacing w:line="400" w:lineRule="exact"/>
        <w:ind w:firstLine="520" w:firstLineChars="200"/>
        <w:jc w:val="left"/>
        <w:rPr>
          <w:sz w:val="26"/>
          <w:szCs w:val="26"/>
        </w:rPr>
      </w:pPr>
      <w:r>
        <w:rPr>
          <w:rFonts w:hint="eastAsia"/>
          <w:sz w:val="26"/>
          <w:szCs w:val="26"/>
        </w:rPr>
        <w:t>（二）校标；</w:t>
      </w:r>
    </w:p>
    <w:p>
      <w:pPr>
        <w:pStyle w:val="6"/>
        <w:spacing w:line="400" w:lineRule="exact"/>
        <w:ind w:firstLine="520" w:firstLineChars="200"/>
        <w:jc w:val="left"/>
        <w:rPr>
          <w:sz w:val="26"/>
          <w:szCs w:val="26"/>
        </w:rPr>
      </w:pPr>
      <w:r>
        <w:rPr>
          <w:rFonts w:hint="eastAsia"/>
          <w:sz w:val="26"/>
          <w:szCs w:val="26"/>
        </w:rPr>
        <w:t>（三）高等学校的其他服务性标记。</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第八条</w:t>
      </w:r>
      <w:r>
        <w:rPr>
          <w:rFonts w:hint="eastAsia" w:ascii="楷体" w:hAnsi="楷体" w:eastAsia="楷体" w:cs="楷体"/>
          <w:sz w:val="26"/>
          <w:szCs w:val="26"/>
        </w:rPr>
        <w:t xml:space="preserve"> </w:t>
      </w:r>
      <w:r>
        <w:rPr>
          <w:rFonts w:hint="eastAsia"/>
          <w:sz w:val="26"/>
          <w:szCs w:val="26"/>
        </w:rPr>
        <w:t>执行本校及其所属单位任务，或主要利用本校及其所属单位的物质技术条件所完成的发明创造或者其他技术成果，是高等学校职务发明创造或职务技术成果。 职务发明创造申请专利的权利属于高等学校。专利权被依法授予后由高等学校持有。职务技术成果的使用权、转让权由高等学校享有。</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第九条</w:t>
      </w:r>
      <w:r>
        <w:rPr>
          <w:rFonts w:hint="eastAsia" w:ascii="楷体" w:hAnsi="楷体" w:eastAsia="楷体" w:cs="楷体"/>
          <w:sz w:val="26"/>
          <w:szCs w:val="26"/>
        </w:rPr>
        <w:t xml:space="preserve"> </w:t>
      </w:r>
      <w:r>
        <w:rPr>
          <w:rFonts w:hint="eastAsia"/>
          <w:sz w:val="26"/>
          <w:szCs w:val="26"/>
        </w:rPr>
        <w:t>由高等学校主持、代表高等学校意志创作、并由高等学校承担责任的作品为高等学校法人作品，其著作权由高等学校享有。为完成高等学校的工作任务所创作的作品是职务作品， 除第十条规定情况外，著作权由完成者享有。高等学校在其业务范围内对职务作品享有优先使用权。作品完成二年内，未经高等学校同意，作者不得许可第三人以与高等学校相同的方式使用该作品。</w:t>
      </w:r>
    </w:p>
    <w:p>
      <w:pPr>
        <w:pStyle w:val="6"/>
        <w:spacing w:line="400" w:lineRule="exact"/>
        <w:ind w:firstLine="516" w:firstLineChars="200"/>
        <w:jc w:val="left"/>
        <w:rPr>
          <w:sz w:val="26"/>
          <w:szCs w:val="26"/>
        </w:rPr>
      </w:pPr>
      <w:r>
        <w:rPr>
          <w:rFonts w:hint="eastAsia" w:ascii="楷体" w:hAnsi="楷体" w:eastAsia="楷体" w:cs="楷体"/>
          <w:spacing w:val="-1"/>
          <w:sz w:val="26"/>
          <w:szCs w:val="26"/>
        </w:rPr>
        <w:t>第十条</w:t>
      </w:r>
      <w:r>
        <w:rPr>
          <w:rFonts w:hint="eastAsia" w:ascii="楷体" w:hAnsi="楷体" w:eastAsia="楷体" w:cs="楷体"/>
          <w:sz w:val="26"/>
          <w:szCs w:val="26"/>
        </w:rPr>
        <w:t xml:space="preserve"> </w:t>
      </w:r>
      <w:r>
        <w:rPr>
          <w:rFonts w:hint="eastAsia"/>
          <w:sz w:val="26"/>
          <w:szCs w:val="26"/>
        </w:rPr>
        <w:t>主要利用高等学校的物质技术条件创作，并由高等学校承担责任的工程设计、产品设计图纸、计算机软件、地图等职务作品以及法律、行政法规规定的或者合同约定著作权由高等学校享有的职务作品，作者享有署名权，著作权的其他权利由高等学校享有。</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第十一条</w:t>
      </w:r>
      <w:r>
        <w:rPr>
          <w:rFonts w:hint="eastAsia"/>
          <w:spacing w:val="-1"/>
          <w:sz w:val="26"/>
          <w:szCs w:val="26"/>
        </w:rPr>
        <w:t xml:space="preserve"> 在执行高等学校科研等工作任务过程中所形成的信息、资料、程序等技术秘密属于高等学校所有。</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第十二条</w:t>
      </w:r>
      <w:r>
        <w:rPr>
          <w:rFonts w:hint="eastAsia"/>
          <w:spacing w:val="-1"/>
          <w:sz w:val="26"/>
          <w:szCs w:val="26"/>
        </w:rPr>
        <w:t xml:space="preserve"> 高等学校派遣出国访问、进修、留学及开展合作项目研究的人员，对其在校己进行的研究，而在国外可能完成的发明创造、获得的知识产权，应当与派遣的高等学校签订协议，确定其发明创造及其他知识产权的归属。</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第十三条</w:t>
      </w:r>
      <w:r>
        <w:rPr>
          <w:rFonts w:hint="eastAsia"/>
          <w:spacing w:val="-1"/>
          <w:sz w:val="26"/>
          <w:szCs w:val="26"/>
        </w:rPr>
        <w:t xml:space="preserve"> 在高等学校学习、进修或者开展合作项目研究的学生、研究人员，在校期间参与导师承担的本校研究课题或者承担学校安排的任务所完成的发明创造及其他技术成果，除另有协议外，应当归高等学校享有或持有。进入博士后流动站的人员，在进站前应就知识产权问题与流动站签定专门协议。</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第十四条</w:t>
      </w:r>
      <w:r>
        <w:rPr>
          <w:rFonts w:hint="eastAsia"/>
          <w:spacing w:val="-1"/>
          <w:sz w:val="26"/>
          <w:szCs w:val="26"/>
        </w:rPr>
        <w:t xml:space="preserve"> 高等学校的离休、退休、停薪留职、调离以及被辞退的人员，在离开高等学校一年内完成的与其原承担的本职工作或任务有关的发明创造或技术成果，由高等学校享有或持有。</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第十五条</w:t>
      </w:r>
      <w:r>
        <w:rPr>
          <w:rFonts w:hint="eastAsia"/>
          <w:spacing w:val="-1"/>
          <w:sz w:val="26"/>
          <w:szCs w:val="26"/>
        </w:rPr>
        <w:t xml:space="preserve"> 职务发明创造或职务技术成果，以及职务作品的完成人依法享有在有关技术文件和作品上署名及获得奖励和报酬的权利。</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 知识产权管理机构</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第十六条</w:t>
      </w:r>
      <w:r>
        <w:rPr>
          <w:rFonts w:hint="eastAsia"/>
          <w:spacing w:val="-1"/>
          <w:sz w:val="26"/>
          <w:szCs w:val="26"/>
        </w:rPr>
        <w:t xml:space="preserve"> 高等学校应建立知识产权办公会议制度，逐步建立健全知识产权工作机构。有条件的高等学校，可实行知识产权登记管理制度；设立知识产权保护与管理工作机构，归口管理本单位知识产权保护工作。暂未设立知识产权保护与管理机构的高等学校，应指定科研管理机构或其他机构担负相关职责。</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第十七条</w:t>
      </w:r>
      <w:r>
        <w:rPr>
          <w:rFonts w:hint="eastAsia"/>
          <w:spacing w:val="-1"/>
          <w:sz w:val="26"/>
          <w:szCs w:val="26"/>
        </w:rPr>
        <w:t xml:space="preserve"> 高等学校科研管理机构负责本校科研项目的立项、成果和档案管理。 应用技术项目的课题组或课题研究人员，在申请立项之前应当进行专利文献及其相关文献的检索。 课题组或课题研究人员在科研工作过程中，应当做好技术资料的记录和保管工作。科研项囤完成后，课题负责人应当将全部实验报告、实验记录、图纸、声像、手稿等原始技术资料收集整理后交本校科研管理机构归档。</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第十八条</w:t>
      </w:r>
      <w:r>
        <w:rPr>
          <w:rFonts w:hint="eastAsia"/>
          <w:spacing w:val="-1"/>
          <w:sz w:val="26"/>
          <w:szCs w:val="26"/>
        </w:rPr>
        <w:t xml:space="preserve"> 在科研活动中作出的职务发明创造或者形成的职务技术成果，课题负责人应当及时向本校科研管理机构知识产权管理机构）提出申请专利的建议，并提交相关资料。高等学校的科研管理机构应当对课题负责人的建议和相关资料进行审查，对需要申请专利的应当及时办理专利申请，对不宜申请专利的技术秘密要采取措施予以保护。</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第十九条</w:t>
      </w:r>
      <w:r>
        <w:rPr>
          <w:rFonts w:hint="eastAsia"/>
          <w:spacing w:val="-1"/>
          <w:sz w:val="26"/>
          <w:szCs w:val="26"/>
        </w:rPr>
        <w:t xml:space="preserve"> 高等学校应当规范和加强有关知识产权合同的签订、审核和管理工作。 高等学校及其所属单位与国内外单位或者个人合作进行科学研究和技术开发，对外进行知识产权转让或者许可使用，应当依法签订书面合同，明确知识产权的归属以及相应的权利、义务等内容。高等学校的知识产权管理机构负责对高等学校及其所属单位签订的知识产权合同进行审核和管理。</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第二十条</w:t>
      </w:r>
      <w:r>
        <w:rPr>
          <w:rFonts w:hint="eastAsia"/>
          <w:spacing w:val="-1"/>
          <w:sz w:val="26"/>
          <w:szCs w:val="26"/>
        </w:rPr>
        <w:t xml:space="preserve"> 高等学校所属单位对外进行知识产权转让或者许可使用前，应当经学校知识产权管理机构审查，并报学校批准。</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 xml:space="preserve">第二十一条 </w:t>
      </w:r>
      <w:r>
        <w:rPr>
          <w:rFonts w:hint="eastAsia"/>
          <w:spacing w:val="-1"/>
          <w:sz w:val="26"/>
          <w:szCs w:val="26"/>
        </w:rPr>
        <w:t>高等学校的教职员工和学生凡申请非职务专利，登记非职务计算机软件的，以及进行非职务专利、非职务技术成果以及非职务作品转让和许可的，应当向本校知识产权管理机构申报，接受审核。对于符合非职务条件的，学校应出具相应证明。</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第二十二条</w:t>
      </w:r>
      <w:r>
        <w:rPr>
          <w:rFonts w:hint="eastAsia"/>
          <w:spacing w:val="-1"/>
          <w:sz w:val="26"/>
          <w:szCs w:val="26"/>
        </w:rPr>
        <w:t xml:space="preserve"> 高等学校要加强科技保密管理。高等学校的教职员工和学生，在开展国内外学术交流与合作过程中，对属于本校保密的信息和技术，要按照国家和本校的有关规定严格保密。高等学校对在国内外科技展览会参展的项目应当加强审核和管理、做好科技保密管理工作。</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第二十三条</w:t>
      </w:r>
      <w:r>
        <w:rPr>
          <w:rFonts w:hint="eastAsia"/>
          <w:spacing w:val="-1"/>
          <w:sz w:val="26"/>
          <w:szCs w:val="26"/>
        </w:rPr>
        <w:t xml:space="preserve"> 高等学校应当重视开展知识产权的资产评估工作，加强对知识产权资产评估的组织和管理。高等学校对外进行知识产权转让、许可使用、作价投资入股或者作为对校办科技产业的投入，应当对知识产权进行资产评估。</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 xml:space="preserve">第二十四条 </w:t>
      </w:r>
      <w:r>
        <w:rPr>
          <w:rFonts w:hint="eastAsia"/>
          <w:spacing w:val="-1"/>
          <w:sz w:val="26"/>
          <w:szCs w:val="26"/>
        </w:rPr>
        <w:t>高等学校可根据情况逐步实行知识产权保证书制度，与有关教职员工和学生签订保护本校知识产权的保证书，明确保护本校知识产权的义务。</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 奖酬与扶持</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 xml:space="preserve">第二十五条 </w:t>
      </w:r>
      <w:r>
        <w:rPr>
          <w:rFonts w:hint="eastAsia"/>
          <w:spacing w:val="-1"/>
          <w:sz w:val="26"/>
          <w:szCs w:val="26"/>
        </w:rPr>
        <w:t>高等学校应当依法保护职务发明创造、职务技术成果、高等学校法人作品及职务作品的研究、创作人员的合法权益，对在知识产权的产生、发展，科技成果产业化方面作出突出贡献的人员，按照国家的有关规定给予奖励。</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第二十六条</w:t>
      </w:r>
      <w:r>
        <w:rPr>
          <w:rFonts w:hint="eastAsia"/>
          <w:spacing w:val="-1"/>
          <w:sz w:val="26"/>
          <w:szCs w:val="26"/>
        </w:rPr>
        <w:t xml:space="preserve"> 高等学校将其知识产权或职务发明创造、职务技术成果</w:t>
      </w:r>
      <w:r>
        <w:rPr>
          <w:rFonts w:hint="eastAsia"/>
          <w:sz w:val="26"/>
          <w:szCs w:val="26"/>
        </w:rPr>
        <w:t>转让给他人或许可他人使用的，应当从转让或许可使用所取得的净收入中，提取不低于 20％的比例，对完成该项职务发明创造、职务技术成果及其转化作出重要贡献的人员给予奖励。为促进科技成果产业化，对经学</w:t>
      </w:r>
      <w:r>
        <w:rPr>
          <w:rFonts w:hint="eastAsia"/>
          <w:spacing w:val="-1"/>
          <w:sz w:val="26"/>
          <w:szCs w:val="26"/>
        </w:rPr>
        <w:t>校许可，由职务发明创造、职务技术成果完成人进行产业化的，可以从转化收入中提取不低于 30％的比例给予奖酬。</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第二十七条</w:t>
      </w:r>
      <w:r>
        <w:rPr>
          <w:rFonts w:hint="eastAsia"/>
          <w:spacing w:val="-1"/>
          <w:sz w:val="26"/>
          <w:szCs w:val="26"/>
        </w:rPr>
        <w:t xml:space="preserve"> 高等学校及其所属单位独立研究开发或者与其他单位合作研究开发的科技成果实施转化成功投产后，高等学校应当连续三至五年从实施该项科技成果所取得的收入中提取不低于 5％的比例，对完成该项科技成果及其产业化作出重要贡献的人员给予奖酬。采用股份制形式的高等学校科技企业，或者主要以技术向其他股份制企业投资入股的高等学校，可以将在科技成果的研究开发、产业化中做出重要贡献的有关人员的报酬或者奖励，按照国家有关规定折算为相应的股份份额或者出资比例。该持股人依据其所持股份份额或出资比例分享收益。</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第二十八条</w:t>
      </w:r>
      <w:r>
        <w:rPr>
          <w:rFonts w:hint="eastAsia"/>
          <w:spacing w:val="-1"/>
          <w:sz w:val="26"/>
          <w:szCs w:val="26"/>
        </w:rPr>
        <w:t xml:space="preserve"> 高等学校应当根据实际情况，采取有效措施，对知识产权的保护、管理工作提供必要的条件保障。高等学校应拨出专款或从技术实施收益中提取一定比例，设立知识产权专项基金，用于支持补贴专利申请，维持和知识产权保护方面的有关费用。对知识产权保护与管理做出突出贡献的单位和个人，高等学校应给予奖励，并作为工作业绩和职称评聘的重要参考。</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 法律责任</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第二十九条</w:t>
      </w:r>
      <w:r>
        <w:rPr>
          <w:rFonts w:hint="eastAsia"/>
          <w:spacing w:val="-1"/>
          <w:sz w:val="26"/>
          <w:szCs w:val="26"/>
        </w:rPr>
        <w:t xml:space="preserve"> 剽窃、窃取、篡改、非法占有、假冒或者以其他方式侵害由高等学校及其教职员工和学生依法享有或持有的知识产权的，高等学校有处理权的，应责令其改正，并对直接责任人给予相应的处分；对无处理权的，应提请并协助有关行政部门依法作出处理。构成犯罪的，应当依法追究刑事责任。</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第三十条</w:t>
      </w:r>
      <w:r>
        <w:rPr>
          <w:rFonts w:hint="eastAsia"/>
          <w:spacing w:val="-1"/>
          <w:sz w:val="26"/>
          <w:szCs w:val="26"/>
        </w:rPr>
        <w:t xml:space="preserve"> 在高等学校教学、科研、创作以及成果的申报、评审、鉴定、产业化活动中，采取欺骗手段，获得优惠待遇或者奖励的，高等学校应当责令改正，退还非法所得，取消其获得的优惠待遇和奖励。</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第三十一条</w:t>
      </w:r>
      <w:r>
        <w:rPr>
          <w:rFonts w:hint="eastAsia"/>
          <w:spacing w:val="-1"/>
          <w:sz w:val="26"/>
          <w:szCs w:val="26"/>
        </w:rPr>
        <w:t xml:space="preserve"> 违反本规定，泄漏本校的技术秘密，或者擅自转让、变相转让以及许可使用高等学校的职务发明创造、职务技术成果、高等学校法人作品或者职务作品的，或造成高等学校资产流失和损失的，由高等学校或其主管教育行政部门对直接责任人员给予行政处分。</w:t>
      </w:r>
    </w:p>
    <w:p>
      <w:pPr>
        <w:pStyle w:val="6"/>
        <w:spacing w:line="400" w:lineRule="exact"/>
        <w:ind w:firstLine="516" w:firstLineChars="200"/>
        <w:jc w:val="left"/>
        <w:rPr>
          <w:spacing w:val="-1"/>
          <w:sz w:val="26"/>
          <w:szCs w:val="26"/>
        </w:rPr>
      </w:pPr>
      <w:r>
        <w:rPr>
          <w:rFonts w:hint="eastAsia" w:ascii="楷体" w:hAnsi="楷体" w:eastAsia="楷体" w:cs="楷体"/>
          <w:spacing w:val="-1"/>
          <w:sz w:val="26"/>
          <w:szCs w:val="26"/>
        </w:rPr>
        <w:t xml:space="preserve">第三十二条 </w:t>
      </w:r>
      <w:r>
        <w:rPr>
          <w:rFonts w:hint="eastAsia"/>
          <w:spacing w:val="-1"/>
          <w:sz w:val="26"/>
          <w:szCs w:val="26"/>
        </w:rPr>
        <w:t>侵犯高等学校及其教职员工和学生依法享有或持有的知识产权，造成损失、损害的，应当依法承担民事责任。</w:t>
      </w:r>
    </w:p>
    <w:p>
      <w:pPr>
        <w:pStyle w:val="6"/>
        <w:spacing w:line="400" w:lineRule="exact"/>
        <w:ind w:firstLine="520" w:firstLineChars="200"/>
        <w:jc w:val="left"/>
        <w:rPr>
          <w:sz w:val="26"/>
          <w:szCs w:val="26"/>
        </w:rPr>
      </w:pPr>
      <w:r>
        <w:rPr>
          <w:rFonts w:hint="eastAsia"/>
          <w:sz w:val="26"/>
          <w:szCs w:val="26"/>
        </w:rPr>
        <w:t>第七章 附 则</w:t>
      </w:r>
    </w:p>
    <w:p>
      <w:pPr>
        <w:spacing w:line="400" w:lineRule="exact"/>
        <w:ind w:firstLine="516" w:firstLineChars="200"/>
        <w:jc w:val="left"/>
        <w:rPr>
          <w:rFonts w:ascii="方正仿宋简体" w:hAnsi="方正仿宋简体" w:eastAsia="方正仿宋简体" w:cs="方正仿宋简体"/>
          <w:sz w:val="26"/>
          <w:szCs w:val="26"/>
        </w:rPr>
      </w:pPr>
      <w:r>
        <w:rPr>
          <w:rFonts w:hint="eastAsia" w:ascii="楷体" w:hAnsi="楷体" w:eastAsia="楷体" w:cs="楷体"/>
          <w:spacing w:val="-1"/>
          <w:sz w:val="26"/>
          <w:szCs w:val="26"/>
        </w:rPr>
        <w:t>第三十三条</w:t>
      </w:r>
      <w:r>
        <w:rPr>
          <w:rFonts w:hint="eastAsia" w:ascii="方正仿宋简体" w:hAnsi="方正仿宋简体" w:eastAsia="方正仿宋简体" w:cs="方正仿宋简体"/>
          <w:spacing w:val="-1"/>
          <w:sz w:val="26"/>
          <w:szCs w:val="26"/>
        </w:rPr>
        <w:t xml:space="preserve"> 本规定自发布之日起施行。</w:t>
      </w: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p>
    <w:p>
      <w:pPr>
        <w:pStyle w:val="4"/>
        <w:spacing w:line="400" w:lineRule="exact"/>
        <w:ind w:firstLine="640" w:firstLineChars="200"/>
        <w:rPr>
          <w:rFonts w:hAnsiTheme="minorHAnsi" w:cstheme="minorBidi"/>
          <w:bCs w:val="0"/>
          <w:sz w:val="32"/>
          <w:szCs w:val="21"/>
          <w:lang w:bidi="ar-SA"/>
        </w:rPr>
      </w:pPr>
      <w:r>
        <w:rPr>
          <w:rFonts w:hint="eastAsia" w:hAnsiTheme="minorHAnsi" w:cstheme="minorBidi"/>
          <w:bCs w:val="0"/>
          <w:sz w:val="32"/>
          <w:szCs w:val="21"/>
          <w:lang w:bidi="ar-SA"/>
        </w:rPr>
        <w:t>山东省高等学校无形资产管理办法</w:t>
      </w:r>
    </w:p>
    <w:p>
      <w:pPr>
        <w:widowControl/>
        <w:shd w:val="clear" w:color="auto" w:fill="FFFFFF"/>
        <w:spacing w:line="400" w:lineRule="exact"/>
        <w:jc w:val="center"/>
        <w:rPr>
          <w:rFonts w:ascii="黑体" w:hAnsi="黑体" w:eastAsia="黑体" w:cs="宋体"/>
          <w:color w:val="4A4A4A"/>
          <w:sz w:val="30"/>
          <w:szCs w:val="30"/>
          <w:lang w:val="zh-CN"/>
        </w:rPr>
      </w:pPr>
      <w:r>
        <w:rPr>
          <w:rFonts w:hint="eastAsia" w:ascii="黑体" w:hAnsi="黑体" w:eastAsia="黑体" w:cs="宋体"/>
          <w:color w:val="4A4A4A"/>
          <w:sz w:val="30"/>
          <w:szCs w:val="30"/>
          <w:lang w:val="zh-CN"/>
        </w:rPr>
        <w:t>（鲁教财字[2002]11 号）</w:t>
      </w:r>
    </w:p>
    <w:p>
      <w:pPr>
        <w:autoSpaceDE w:val="0"/>
        <w:autoSpaceDN w:val="0"/>
        <w:spacing w:line="400" w:lineRule="exact"/>
        <w:ind w:firstLine="520" w:firstLineChars="200"/>
        <w:jc w:val="left"/>
        <w:rPr>
          <w:rFonts w:ascii="方正仿宋简体" w:hAnsi="方正仿宋简体" w:eastAsia="方正仿宋简体" w:cs="方正仿宋简体"/>
          <w:b/>
          <w:sz w:val="26"/>
          <w:szCs w:val="26"/>
          <w:lang w:val="zh-CN" w:bidi="zh-CN"/>
        </w:rPr>
      </w:pP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第一章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总 则</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第一条</w:t>
      </w:r>
      <w:r>
        <w:rPr>
          <w:rFonts w:hint="eastAsia" w:ascii="方正仿宋简体" w:hAnsi="方正仿宋简体" w:eastAsia="方正仿宋简体" w:cs="方正仿宋简体"/>
          <w:bCs/>
          <w:iCs/>
          <w:kern w:val="0"/>
          <w:sz w:val="26"/>
          <w:szCs w:val="26"/>
          <w:lang w:val="zh-CN" w:bidi="zh-CN"/>
        </w:rPr>
        <w:t xml:space="preserve"> 为加强高等学校无形资产(以下简称高校无形资产)管理,维护高校权益，防止无形资产流失，提高无形资产的经济效益和社会效益,根据《高等学校财务制度》、《高等学校会计制度》及国家的有关法律、法规，结合我省高校实际，特制定本办法。</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第二条</w:t>
      </w:r>
      <w:r>
        <w:rPr>
          <w:rFonts w:hint="eastAsia" w:ascii="方正仿宋简体" w:hAnsi="方正仿宋简体" w:eastAsia="方正仿宋简体" w:cs="方正仿宋简体"/>
          <w:bCs/>
          <w:iCs/>
          <w:kern w:val="0"/>
          <w:sz w:val="26"/>
          <w:szCs w:val="26"/>
          <w:lang w:val="zh-CN" w:bidi="zh-CN"/>
        </w:rPr>
        <w:t xml:space="preserve"> 高校无形资产是指高校所拥有的、不具有实物形态而能为使用者提供某种权利的资产，包括专利权、商标权、专有技术权、著作权、土地使用权、特许经营权、商誉以及其他财产权利等。学校冠名权视同商誉纳入无形资产范畴。</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第三条</w:t>
      </w:r>
      <w:r>
        <w:rPr>
          <w:rFonts w:hint="eastAsia" w:ascii="方正仿宋简体" w:hAnsi="方正仿宋简体" w:eastAsia="方正仿宋简体" w:cs="方正仿宋简体"/>
          <w:bCs/>
          <w:iCs/>
          <w:kern w:val="0"/>
          <w:sz w:val="26"/>
          <w:szCs w:val="26"/>
          <w:lang w:val="zh-CN" w:bidi="zh-CN"/>
        </w:rPr>
        <w:t xml:space="preserve"> 高校无形资产管理的主要任务是：完善管理体制，建立健全各项规章制度；摸清无形资产状况，明晰产权关系，实施产权管理；保障无形资产的安全和完整；促进无形资产的开发和利用，规范无形资产处置行为，提高无形资产的经济效益；对经营性无形资产监督其保值增值。</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第四条</w:t>
      </w:r>
      <w:r>
        <w:rPr>
          <w:rFonts w:hint="eastAsia" w:ascii="方正仿宋简体" w:hAnsi="方正仿宋简体" w:eastAsia="方正仿宋简体" w:cs="方正仿宋简体"/>
          <w:bCs/>
          <w:iCs/>
          <w:kern w:val="0"/>
          <w:sz w:val="26"/>
          <w:szCs w:val="26"/>
          <w:lang w:val="zh-CN" w:bidi="zh-CN"/>
        </w:rPr>
        <w:t xml:space="preserve"> 高校无形资产管理的主要内容是：无形资产的范围界定、分类和入帐价值的确认和计量；无形资产的增加、使用、处置；无形资产的清查盘点；无形资产的帐务处理；无形资产 产权收益管理等。</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第二章无形资产管理体制</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第五条</w:t>
      </w:r>
      <w:r>
        <w:rPr>
          <w:rFonts w:hint="eastAsia" w:ascii="方正仿宋简体" w:hAnsi="方正仿宋简体" w:eastAsia="方正仿宋简体" w:cs="方正仿宋简体"/>
          <w:bCs/>
          <w:iCs/>
          <w:kern w:val="0"/>
          <w:sz w:val="26"/>
          <w:szCs w:val="26"/>
          <w:lang w:val="zh-CN" w:bidi="zh-CN"/>
        </w:rPr>
        <w:t xml:space="preserve"> 高校无形资产作为国有资产的重要组成部分，实行"统一领导、归口管理、分级负责、责任到人"的管理体制；坚持所有权和使用权相分离、资产管理和财务管理相结合的原则。</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第六条 </w:t>
      </w:r>
      <w:r>
        <w:rPr>
          <w:rFonts w:hint="eastAsia" w:ascii="方正仿宋简体" w:hAnsi="方正仿宋简体" w:eastAsia="方正仿宋简体" w:cs="方正仿宋简体"/>
          <w:bCs/>
          <w:iCs/>
          <w:kern w:val="0"/>
          <w:sz w:val="26"/>
          <w:szCs w:val="26"/>
          <w:lang w:val="zh-CN" w:bidi="zh-CN"/>
        </w:rPr>
        <w:t>建立学校业务主管部门、归口管理部门、使用部门（使用人）组成的无形资产管理体系，各部门、单位应明确管理机构、配备管理人员，建立健全无形资产管理岗位责任制度。</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第七条 </w:t>
      </w:r>
      <w:r>
        <w:rPr>
          <w:rFonts w:hint="eastAsia" w:ascii="方正仿宋简体" w:hAnsi="方正仿宋简体" w:eastAsia="方正仿宋简体" w:cs="方正仿宋简体"/>
          <w:bCs/>
          <w:iCs/>
          <w:kern w:val="0"/>
          <w:sz w:val="26"/>
          <w:szCs w:val="26"/>
          <w:lang w:val="zh-CN" w:bidi="zh-CN"/>
        </w:rPr>
        <w:t>高校国有资产管理办公室（财务处）为无形资产业务主管部门，对无形资产实施统一监督管理。主要职责是：</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（一）根据国家和省有关规定，制定学校无形资产管理规章制度，并组织实施和监督检查；</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（二）会同归口管理部门组织无形资产技术鉴定，办理无形资产的产权确认手续；</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（三）负责登记无形资产明细分类帐；</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（四）负责审核办理无形资产的增加、调剂和处置等；</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（五）负责组织对无形资产的清查、登记、统计汇总及日常监督检查工作；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 xml:space="preserve">（六）参与学校用无 形资产进行投资的决 策； </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（七）其他工作。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第八条</w:t>
      </w:r>
      <w:r>
        <w:rPr>
          <w:rFonts w:hint="eastAsia" w:ascii="方正仿宋简体" w:hAnsi="方正仿宋简体" w:eastAsia="方正仿宋简体" w:cs="方正仿宋简体"/>
          <w:bCs/>
          <w:iCs/>
          <w:kern w:val="0"/>
          <w:sz w:val="26"/>
          <w:szCs w:val="26"/>
          <w:lang w:val="zh-CN" w:bidi="zh-CN"/>
        </w:rPr>
        <w:t xml:space="preserve"> 高校的无形资产应实行归口管理，根据无形资产的类别划分归口部门。归口管理部门负责具体的业务管理，其管理范围的划分由学校根据实际确定。主要职责是：</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（一）根据学校无形资产管理制度，制定具体的业务管理规范、标准及有关实施办法；</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（二）负责登记归口管理的无形资产明细台帐（备查帐）；</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（三）负责组织无形资产的清查、统计等工作；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（四）根据使用部门提出的无形资产技术鉴定申请，协同业务主管部门组织鉴定；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（五）负责办理无形资产的增加、调剂、处置等报批手续；</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（六）检查、指导使用部门的无形资产的管理工作；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（七）参与学校使用无形资产进行投资的决策。</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第九条 </w:t>
      </w:r>
      <w:r>
        <w:rPr>
          <w:rFonts w:hint="eastAsia" w:ascii="方正仿宋简体" w:hAnsi="方正仿宋简体" w:eastAsia="方正仿宋简体" w:cs="方正仿宋简体"/>
          <w:bCs/>
          <w:iCs/>
          <w:kern w:val="0"/>
          <w:sz w:val="26"/>
          <w:szCs w:val="26"/>
          <w:lang w:val="zh-CN" w:bidi="zh-CN"/>
        </w:rPr>
        <w:t>按照分级管理的原则，无形资产使用部门负责对其占有使用的无形资产实施日常管理。主要职责是：</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（一）根据学校无形资产管理制度和办法，负责制定并组织实施具体的实施细则；</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（二）建立并登记无形资产使用台帐；</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（三）提出处置申请；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（四）检查并报告无形资产的日常使用情况。</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第十条</w:t>
      </w:r>
      <w:r>
        <w:rPr>
          <w:rFonts w:hint="eastAsia" w:ascii="方正仿宋简体" w:hAnsi="方正仿宋简体" w:eastAsia="方正仿宋简体" w:cs="方正仿宋简体"/>
          <w:bCs/>
          <w:iCs/>
          <w:kern w:val="0"/>
          <w:sz w:val="26"/>
          <w:szCs w:val="26"/>
          <w:lang w:val="zh-CN" w:bidi="zh-CN"/>
        </w:rPr>
        <w:t xml:space="preserve"> 高校要建立一支业务精、素质高、具有良好职业道德的无形资产管理队伍。</w:t>
      </w:r>
    </w:p>
    <w:p>
      <w:pPr>
        <w:tabs>
          <w:tab w:val="left" w:pos="1202"/>
        </w:tabs>
        <w:autoSpaceDE w:val="0"/>
        <w:autoSpaceDN w:val="0"/>
        <w:spacing w:line="400" w:lineRule="exact"/>
        <w:ind w:right="279" w:firstLine="520" w:firstLineChars="200"/>
        <w:jc w:val="left"/>
        <w:rPr>
          <w:rFonts w:ascii="方正仿宋简体" w:hAnsi="方正仿宋简体" w:eastAsia="方正仿宋简体" w:cs="方正仿宋简体"/>
          <w:bCs/>
          <w:iCs/>
          <w:sz w:val="26"/>
          <w:szCs w:val="26"/>
          <w:lang w:val="zh-CN" w:bidi="zh-CN"/>
        </w:rPr>
      </w:pPr>
      <w:r>
        <w:rPr>
          <w:rFonts w:hint="eastAsia" w:ascii="方正仿宋简体" w:hAnsi="方正仿宋简体" w:eastAsia="方正仿宋简体" w:cs="方正仿宋简体"/>
          <w:bCs/>
          <w:iCs/>
          <w:sz w:val="26"/>
          <w:szCs w:val="26"/>
          <w:lang w:val="zh-CN" w:bidi="zh-CN"/>
        </w:rPr>
        <w:t>第三章</w:t>
      </w:r>
      <w:r>
        <w:rPr>
          <w:rFonts w:hint="eastAsia" w:ascii="方正仿宋简体" w:hAnsi="方正仿宋简体" w:eastAsia="方正仿宋简体" w:cs="方正仿宋简体"/>
          <w:bCs/>
          <w:iCs/>
          <w:sz w:val="26"/>
          <w:szCs w:val="26"/>
          <w:lang w:val="zh-CN" w:bidi="zh-CN"/>
        </w:rPr>
        <w:tab/>
      </w:r>
      <w:r>
        <w:rPr>
          <w:rFonts w:hint="eastAsia" w:ascii="方正仿宋简体" w:hAnsi="方正仿宋简体" w:eastAsia="方正仿宋简体" w:cs="方正仿宋简体"/>
          <w:bCs/>
          <w:iCs/>
          <w:sz w:val="26"/>
          <w:szCs w:val="26"/>
          <w:lang w:val="zh-CN" w:bidi="zh-CN"/>
        </w:rPr>
        <w:t>无形资产的范围、内容和计价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第十一条 </w:t>
      </w:r>
      <w:r>
        <w:rPr>
          <w:rFonts w:hint="eastAsia" w:ascii="方正仿宋简体" w:hAnsi="方正仿宋简体" w:eastAsia="方正仿宋简体" w:cs="方正仿宋简体"/>
          <w:bCs/>
          <w:iCs/>
          <w:kern w:val="0"/>
          <w:sz w:val="26"/>
          <w:szCs w:val="26"/>
          <w:lang w:val="zh-CN" w:bidi="zh-CN"/>
        </w:rPr>
        <w:t>无形资产应满足下列条件：</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（一）该资产在促成高校获得经济利益方面的作用，以及发挥这种作用的能力能够被证实；</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（二）取得该资产的成本能够可靠的计量。</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第十二条 </w:t>
      </w:r>
      <w:r>
        <w:rPr>
          <w:rFonts w:hint="eastAsia" w:ascii="方正仿宋简体" w:hAnsi="方正仿宋简体" w:eastAsia="方正仿宋简体" w:cs="方正仿宋简体"/>
          <w:bCs/>
          <w:iCs/>
          <w:kern w:val="0"/>
          <w:sz w:val="26"/>
          <w:szCs w:val="26"/>
          <w:lang w:val="zh-CN" w:bidi="zh-CN"/>
        </w:rPr>
        <w:t>高校外购和自创形成的无形资产，通过接受捐赠、调拨等形式取得的无形资产，以及依据国家法律、法规或者依 法由合同约定应界定为学校所有的无形资产其所有权均属学校。</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第十三条 </w:t>
      </w:r>
      <w:r>
        <w:rPr>
          <w:rFonts w:hint="eastAsia" w:ascii="方正仿宋简体" w:hAnsi="方正仿宋简体" w:eastAsia="方正仿宋简体" w:cs="方正仿宋简体"/>
          <w:bCs/>
          <w:iCs/>
          <w:kern w:val="0"/>
          <w:sz w:val="26"/>
          <w:szCs w:val="26"/>
          <w:lang w:val="zh-CN" w:bidi="zh-CN"/>
        </w:rPr>
        <w:t>高校无形资产主要包括：</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（一）专利权：依照《中华人民共和国专利法》的规定，界定学校为专利权人的，在法定期限内为学校所独占和专有的各种发明创造（职务发明）；</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（二）商标权：以学校名义申请注册的，在一定期限内在指定的商品上使用特定的名称、图案、标记的权利；</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著作权：由学校主持，代表学校意志，并由学校承担责任的文学艺术创作、音像制品、图纸、模型、计算机软件等,依法界定学校为著作权人，学校享有出版、发行等方面的专有权利，为著作权，亦称版权；</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（四）专有技术：即非专利技术，或称技术诀窍，是指学校作为发明人，由学校垄断的、不公开的、具有实用价值的先进技术、科研成果、资料、技能、知识等。</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（五）土地使用权：学校依法、有偿取得的土地使用权，视为学校的无形资产；国家土地管理部门无偿划拨的，专门用于与教育事业有关活动的土地，一般不作为无形资产；</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（六）特许经营权：是指高校在某一地区经营或销售某种特定商品的权利，或是接受另一单位有偿使用其商标、专利技术的权利；</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（七）商誉：是指高校由于具有较高的社会信誉，或在某些方面有一定的优势，使得学校的冠名权具有为使用者带来较多经济利益的能力。</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第十四条</w:t>
      </w:r>
      <w:r>
        <w:rPr>
          <w:rFonts w:hint="eastAsia" w:ascii="方正仿宋简体" w:hAnsi="方正仿宋简体" w:eastAsia="方正仿宋简体" w:cs="方正仿宋简体"/>
          <w:bCs/>
          <w:iCs/>
          <w:kern w:val="0"/>
          <w:sz w:val="26"/>
          <w:szCs w:val="26"/>
          <w:lang w:val="zh-CN" w:bidi="zh-CN"/>
        </w:rPr>
        <w:t>高校无形资产按下列规定计价：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（一）外购的无形资产按取得时发生的总支出计价。总支出包括所付的价款、聘请的律师费及其他有关的支出。</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（二）以出让方式单独取得的土地使用权的计价，应根据土地出让合同约定支付的土地使用权出让金和相关支出确定。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（三）作为整批资产的一部分取得且独立发挥作用的其他无形资产的计价，应根据所取得各单项无形资产的公允价值，将总支出按比例分配确定。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（四）高校自创并依法取得的专利权、商标权等无形资产的计价，应根据依法取得时发生的注册费、律师费以及开发过程中实际发生的支出确定。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（五）接受捐赠的无形资产的计价应根据其公允价值确定。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（六）盘盈的无形资产，按现行价值计价。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（七）其他形式形成的无形资产按有关规定计价。无形资产一般在发生自行开发、购置、受让、转让、对外投资等行为并经过法定机构评估后，才能计价。</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第四章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无形资产的增加和使用</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第十五条</w:t>
      </w:r>
      <w:r>
        <w:rPr>
          <w:rFonts w:hint="eastAsia" w:ascii="方正仿宋简体" w:hAnsi="方正仿宋简体" w:eastAsia="方正仿宋简体" w:cs="方正仿宋简体"/>
          <w:bCs/>
          <w:iCs/>
          <w:kern w:val="0"/>
          <w:sz w:val="26"/>
          <w:szCs w:val="26"/>
          <w:lang w:val="zh-CN" w:bidi="zh-CN"/>
        </w:rPr>
        <w:t xml:space="preserve"> 无形资产增加主要是自创、购置、受赠、受让、调拨和划转等活动所引起的无形资产的数量和价值量的增加。</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第十六条</w:t>
      </w:r>
      <w:r>
        <w:rPr>
          <w:rFonts w:hint="eastAsia" w:ascii="方正仿宋简体" w:hAnsi="方正仿宋简体" w:eastAsia="方正仿宋简体" w:cs="方正仿宋简体"/>
          <w:bCs/>
          <w:iCs/>
          <w:kern w:val="0"/>
          <w:sz w:val="26"/>
          <w:szCs w:val="26"/>
          <w:lang w:val="zh-CN" w:bidi="zh-CN"/>
        </w:rPr>
        <w:t xml:space="preserve"> 高校外购无形资产要符合事业发展规划，考虑经费可能并进行充分论证，严格审批程序和权限，避免重复、盲目引进。</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第十七条</w:t>
      </w:r>
      <w:r>
        <w:rPr>
          <w:rFonts w:hint="eastAsia" w:ascii="方正仿宋简体" w:hAnsi="方正仿宋简体" w:eastAsia="方正仿宋简体" w:cs="方正仿宋简体"/>
          <w:bCs/>
          <w:iCs/>
          <w:kern w:val="0"/>
          <w:sz w:val="26"/>
          <w:szCs w:val="26"/>
          <w:lang w:val="zh-CN" w:bidi="zh-CN"/>
        </w:rPr>
        <w:t xml:space="preserve"> 自行开发或研制的项目应依法及时申请并办理注册登记手续，明晰产权关系，依法确定高校的所有者地位。</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第十八条</w:t>
      </w:r>
      <w:r>
        <w:rPr>
          <w:rFonts w:hint="eastAsia" w:ascii="方正仿宋简体" w:hAnsi="方正仿宋简体" w:eastAsia="方正仿宋简体" w:cs="方正仿宋简体"/>
          <w:bCs/>
          <w:iCs/>
          <w:kern w:val="0"/>
          <w:sz w:val="26"/>
          <w:szCs w:val="26"/>
          <w:lang w:val="zh-CN" w:bidi="zh-CN"/>
        </w:rPr>
        <w:t xml:space="preserve"> 高校对使用其名称（简称、字样）的社会组织、社会团体和个人，应严格审查资格、资信，逐一登记，合理取费，并定期检查清理，对损害高校权益的，应依法收回。</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第十九条</w:t>
      </w:r>
      <w:r>
        <w:rPr>
          <w:rFonts w:hint="eastAsia" w:ascii="方正仿宋简体" w:hAnsi="方正仿宋简体" w:eastAsia="方正仿宋简体" w:cs="方正仿宋简体"/>
          <w:bCs/>
          <w:iCs/>
          <w:kern w:val="0"/>
          <w:sz w:val="26"/>
          <w:szCs w:val="26"/>
          <w:lang w:val="zh-CN" w:bidi="zh-CN"/>
        </w:rPr>
        <w:t xml:space="preserve"> 高校无形资产的后续支出，不增加无形资产的帐面值。</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第二十条 </w:t>
      </w:r>
      <w:r>
        <w:rPr>
          <w:rFonts w:hint="eastAsia" w:ascii="方正仿宋简体" w:hAnsi="方正仿宋简体" w:eastAsia="方正仿宋简体" w:cs="方正仿宋简体"/>
          <w:bCs/>
          <w:iCs/>
          <w:kern w:val="0"/>
          <w:sz w:val="26"/>
          <w:szCs w:val="26"/>
          <w:lang w:val="zh-CN" w:bidi="zh-CN"/>
        </w:rPr>
        <w:t>建立无形资产使用考核制度，对长期闲置的无形资产及时合理调配，充分提高利用率，盘活存量，发挥其最大效益。</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第二十一条</w:t>
      </w:r>
      <w:r>
        <w:rPr>
          <w:rFonts w:hint="eastAsia" w:ascii="方正仿宋简体" w:hAnsi="方正仿宋简体" w:eastAsia="方正仿宋简体" w:cs="方正仿宋简体"/>
          <w:bCs/>
          <w:iCs/>
          <w:kern w:val="0"/>
          <w:sz w:val="26"/>
          <w:szCs w:val="26"/>
          <w:lang w:val="zh-CN" w:bidi="zh-CN"/>
        </w:rPr>
        <w:t xml:space="preserve"> 高校占有使用的无形资产发生产权纠纷，应按规定向上级有关部门提出调处或界定申请。</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第五章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无形资产的清查和报告制度</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第二十二条</w:t>
      </w:r>
      <w:r>
        <w:rPr>
          <w:rFonts w:hint="eastAsia" w:ascii="方正仿宋简体" w:hAnsi="方正仿宋简体" w:eastAsia="方正仿宋简体" w:cs="方正仿宋简体"/>
          <w:bCs/>
          <w:iCs/>
          <w:kern w:val="0"/>
          <w:sz w:val="26"/>
          <w:szCs w:val="26"/>
          <w:lang w:val="zh-CN" w:bidi="zh-CN"/>
        </w:rPr>
        <w:t xml:space="preserve"> 高校应建立健全无形资产清查制度，每年年度终了进行一次全面清查盘点，并根据需要不定期地进行全面或局部清查。对盘盈、盘亏的无形资产应及时查明原因，分清责任，并按规定作出处理。</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第二十三条</w:t>
      </w:r>
      <w:r>
        <w:rPr>
          <w:rFonts w:hint="eastAsia" w:ascii="方正仿宋简体" w:hAnsi="方正仿宋简体" w:eastAsia="方正仿宋简体" w:cs="方正仿宋简体"/>
          <w:bCs/>
          <w:iCs/>
          <w:kern w:val="0"/>
          <w:sz w:val="26"/>
          <w:szCs w:val="26"/>
          <w:lang w:val="zh-CN" w:bidi="zh-CN"/>
        </w:rPr>
        <w:t xml:space="preserve"> 高校应定期对无形资产的帐面值进行检查。如发现以下情况,应对无形资产的可收回金额进行估计并登记无形资产的备查帐薄,在无形资产的报告中予以披露:</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（一）该项无形资产已被其他新技术等替代，使其为高校创造利益的能力受到重大不利影响；</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（二）有充足的理由确信该无形资产的价值大幅下跌，在以后的年限内不会恢复；</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（三）其他足以表明该无形资产的帐面值已超过可收回金额的情形。</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第二十四条 </w:t>
      </w:r>
      <w:r>
        <w:rPr>
          <w:rFonts w:hint="eastAsia" w:ascii="方正仿宋简体" w:hAnsi="方正仿宋简体" w:eastAsia="方正仿宋简体" w:cs="方正仿宋简体"/>
          <w:bCs/>
          <w:iCs/>
          <w:kern w:val="0"/>
          <w:sz w:val="26"/>
          <w:szCs w:val="26"/>
          <w:lang w:val="zh-CN" w:bidi="zh-CN"/>
        </w:rPr>
        <w:t>根据多方面充分论证分析，认为无形资产预期不能为高校带来利益时，高校应按规定的程序将无形资产的帐面值予以转销。无形资产预期不能为学校带来利益的情形主要包括：</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（一）该无形资产已被其他新技术等替代，且已不能为学校带来利益；</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（二）该项无形资产不再受法律的保护，且不能给学校带来利益。</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第二十五条</w:t>
      </w:r>
      <w:r>
        <w:rPr>
          <w:rFonts w:hint="eastAsia" w:ascii="方正仿宋简体" w:hAnsi="方正仿宋简体" w:eastAsia="方正仿宋简体" w:cs="方正仿宋简体"/>
          <w:bCs/>
          <w:iCs/>
          <w:kern w:val="0"/>
          <w:sz w:val="26"/>
          <w:szCs w:val="26"/>
          <w:lang w:val="zh-CN" w:bidi="zh-CN"/>
        </w:rPr>
        <w:t xml:space="preserve"> 高校应建立逐级、定期报告制度，及时掌握无形资产的使用和运营情况。严格按照规定的格式和期限对其占有使用的无形资产的存量、状态等做出报告。对造成无形资产损失的重大事件应及时上报上级主管部门。</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第六章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无形资产的处置</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第二十六条 </w:t>
      </w:r>
      <w:r>
        <w:rPr>
          <w:rFonts w:hint="eastAsia" w:ascii="方正仿宋简体" w:hAnsi="方正仿宋简体" w:eastAsia="方正仿宋简体" w:cs="方正仿宋简体"/>
          <w:bCs/>
          <w:iCs/>
          <w:kern w:val="0"/>
          <w:sz w:val="26"/>
          <w:szCs w:val="26"/>
          <w:lang w:val="zh-CN" w:bidi="zh-CN"/>
        </w:rPr>
        <w:t>无形资产的处置是高校对无形资产进行产权（含所有权、使用权）转移或者成果的开发利用等行为，包括转让、开发利用、出售、投资、报废等。</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 xml:space="preserve">第二十七条 </w:t>
      </w:r>
      <w:r>
        <w:rPr>
          <w:rFonts w:hint="eastAsia" w:ascii="方正仿宋简体" w:hAnsi="方正仿宋简体" w:eastAsia="方正仿宋简体" w:cs="方正仿宋简体"/>
          <w:bCs/>
          <w:iCs/>
          <w:kern w:val="0"/>
          <w:sz w:val="26"/>
          <w:szCs w:val="26"/>
          <w:lang w:val="zh-CN" w:bidi="zh-CN"/>
        </w:rPr>
        <w:t>高校应按照公开、公正、合理、有序的原则，规范无形资产的处置行为，杜绝处置过程中的流失和违规现象。</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第二十八条</w:t>
      </w:r>
      <w:r>
        <w:rPr>
          <w:rFonts w:hint="eastAsia" w:ascii="方正仿宋简体" w:hAnsi="方正仿宋简体" w:eastAsia="方正仿宋简体" w:cs="方正仿宋简体"/>
          <w:bCs/>
          <w:iCs/>
          <w:kern w:val="0"/>
          <w:sz w:val="26"/>
          <w:szCs w:val="26"/>
          <w:lang w:val="zh-CN" w:bidi="zh-CN"/>
        </w:rPr>
        <w:t xml:space="preserve"> 高校处置无形资产应由业务主管部门组织专家进行论证和技术鉴定，并按照国有资产管理规定进行评估确认，处置价格不得低于评估值。</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第二十九条</w:t>
      </w:r>
      <w:r>
        <w:rPr>
          <w:rFonts w:hint="eastAsia" w:ascii="方正仿宋简体" w:hAnsi="方正仿宋简体" w:eastAsia="方正仿宋简体" w:cs="方正仿宋简体"/>
          <w:bCs/>
          <w:iCs/>
          <w:kern w:val="0"/>
          <w:sz w:val="26"/>
          <w:szCs w:val="26"/>
          <w:lang w:val="zh-CN" w:bidi="zh-CN"/>
        </w:rPr>
        <w:t>高校处置无形资产应符合以下程序：</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（一）使用部门根据论证和考察情况提出申请报告；</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（二）业务主管部门会同归口管理部门组织技术鉴定；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（三）学校国有资产领导小组签署意见；</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（四）上报学校主管部门、省财政厅审批；</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（五）学校根据批复处置无形资产。</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第三十条</w:t>
      </w:r>
      <w:r>
        <w:rPr>
          <w:rFonts w:hint="eastAsia" w:ascii="方正仿宋简体" w:hAnsi="方正仿宋简体" w:eastAsia="方正仿宋简体" w:cs="方正仿宋简体"/>
          <w:bCs/>
          <w:iCs/>
          <w:kern w:val="0"/>
          <w:sz w:val="26"/>
          <w:szCs w:val="26"/>
          <w:lang w:val="zh-CN" w:bidi="zh-CN"/>
        </w:rPr>
        <w:t xml:space="preserve"> 高校处置无形资产的审批权限按照原《山东省教委委属单位国有资产管理实施办法》（鲁教财字[1998]42 号文）的规定办理。</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第三十一条</w:t>
      </w:r>
      <w:r>
        <w:rPr>
          <w:rFonts w:hint="eastAsia" w:ascii="方正仿宋简体" w:hAnsi="方正仿宋简体" w:eastAsia="方正仿宋简体" w:cs="方正仿宋简体"/>
          <w:bCs/>
          <w:iCs/>
          <w:kern w:val="0"/>
          <w:sz w:val="26"/>
          <w:szCs w:val="26"/>
          <w:lang w:val="zh-CN" w:bidi="zh-CN"/>
        </w:rPr>
        <w:t xml:space="preserve"> 高校以无形资产对校办产业投资或对外投资， 要严格办理非经营性资产转经营性资产的审批手续，明晰产权关系，实施产权管理。</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第三十二条</w:t>
      </w:r>
      <w:r>
        <w:rPr>
          <w:rFonts w:hint="eastAsia" w:ascii="方正仿宋简体" w:hAnsi="方正仿宋简体" w:eastAsia="方正仿宋简体" w:cs="方正仿宋简体"/>
          <w:bCs/>
          <w:iCs/>
          <w:kern w:val="0"/>
          <w:sz w:val="26"/>
          <w:szCs w:val="26"/>
          <w:lang w:val="zh-CN" w:bidi="zh-CN"/>
        </w:rPr>
        <w:t xml:space="preserve"> 无形资产的处置收益应纳入学校财务部门统一管理，按照有关规定进行分配。任何单位和个人不得截留挪用。</w:t>
      </w:r>
    </w:p>
    <w:p>
      <w:pPr>
        <w:widowControl/>
        <w:wordWrap w:val="0"/>
        <w:spacing w:after="136" w:line="400" w:lineRule="exact"/>
        <w:ind w:firstLine="520" w:firstLineChars="200"/>
        <w:jc w:val="center"/>
        <w:rPr>
          <w:rFonts w:ascii="黑体" w:hAnsi="黑体" w:eastAsia="黑体" w:cs="黑体"/>
          <w:kern w:val="0"/>
          <w:sz w:val="26"/>
          <w:szCs w:val="26"/>
          <w:lang w:val="zh-CN" w:bidi="zh-CN"/>
        </w:rPr>
      </w:pPr>
      <w:r>
        <w:rPr>
          <w:rFonts w:hint="eastAsia" w:ascii="黑体" w:hAnsi="黑体" w:eastAsia="黑体" w:cs="黑体"/>
          <w:kern w:val="0"/>
          <w:sz w:val="26"/>
          <w:szCs w:val="26"/>
          <w:lang w:val="zh-CN" w:bidi="zh-CN"/>
        </w:rPr>
        <w:t>第七章</w:t>
      </w:r>
      <w:r>
        <w:rPr>
          <w:rFonts w:hint="eastAsia" w:ascii="黑体" w:hAnsi="黑体" w:eastAsia="黑体" w:cs="黑体"/>
          <w:kern w:val="0"/>
          <w:sz w:val="26"/>
          <w:szCs w:val="26"/>
          <w:lang w:val="zh-CN" w:bidi="zh-CN"/>
        </w:rPr>
        <w:tab/>
      </w:r>
      <w:r>
        <w:rPr>
          <w:rFonts w:hint="eastAsia" w:ascii="黑体" w:hAnsi="黑体" w:eastAsia="黑体" w:cs="黑体"/>
          <w:kern w:val="0"/>
          <w:sz w:val="26"/>
          <w:szCs w:val="26"/>
          <w:lang w:val="zh-CN" w:bidi="zh-CN"/>
        </w:rPr>
        <w:t>无形资产帐务处理</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第三十三条</w:t>
      </w:r>
      <w:r>
        <w:rPr>
          <w:rFonts w:hint="eastAsia" w:ascii="方正仿宋简体" w:hAnsi="方正仿宋简体" w:eastAsia="方正仿宋简体" w:cs="方正仿宋简体"/>
          <w:bCs/>
          <w:iCs/>
          <w:kern w:val="0"/>
          <w:sz w:val="26"/>
          <w:szCs w:val="26"/>
          <w:lang w:val="zh-CN" w:bidi="zh-CN"/>
        </w:rPr>
        <w:t xml:space="preserve"> 高校应按照会计核算要求设置严密的帐簿体在不同的管理部门分设总帐、明细帐、台帐和备查帐等，并根据需要设计有关表格等原始单据。</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第三十四条</w:t>
      </w:r>
      <w:r>
        <w:rPr>
          <w:rFonts w:hint="eastAsia" w:ascii="方正仿宋简体" w:hAnsi="方正仿宋简体" w:eastAsia="方正仿宋简体" w:cs="方正仿宋简体"/>
          <w:bCs/>
          <w:iCs/>
          <w:kern w:val="0"/>
          <w:sz w:val="26"/>
          <w:szCs w:val="26"/>
          <w:lang w:val="zh-CN" w:bidi="zh-CN"/>
        </w:rPr>
        <w:t xml:space="preserve"> 无形资产的各级帐务管理人员应定期对帐，确保帐帐、帐实相符。</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第三十五条</w:t>
      </w:r>
      <w:r>
        <w:rPr>
          <w:rFonts w:hint="eastAsia" w:ascii="方正仿宋简体" w:hAnsi="方正仿宋简体" w:eastAsia="方正仿宋简体" w:cs="方正仿宋简体"/>
          <w:bCs/>
          <w:iCs/>
          <w:kern w:val="0"/>
          <w:sz w:val="26"/>
          <w:szCs w:val="26"/>
          <w:lang w:val="zh-CN" w:bidi="zh-CN"/>
        </w:rPr>
        <w:t xml:space="preserve"> 无形资产在未产生经济价值时，采用统计进行调查和登记。当无形资产产生其价值或因投入资金产生成本和费用时，应进行会计核算。</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第三十六条</w:t>
      </w:r>
      <w:r>
        <w:rPr>
          <w:rFonts w:hint="eastAsia" w:ascii="方正仿宋简体" w:hAnsi="方正仿宋简体" w:eastAsia="方正仿宋简体" w:cs="方正仿宋简体"/>
          <w:bCs/>
          <w:iCs/>
          <w:kern w:val="0"/>
          <w:sz w:val="26"/>
          <w:szCs w:val="26"/>
          <w:lang w:val="zh-CN" w:bidi="zh-CN"/>
        </w:rPr>
        <w:t xml:space="preserve"> 无形资产有关业务的帐务处理按照《高等学校会计制度》规定办理。</w:t>
      </w:r>
    </w:p>
    <w:p>
      <w:pPr>
        <w:tabs>
          <w:tab w:val="left" w:pos="1202"/>
        </w:tabs>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第八章</w:t>
      </w:r>
      <w:r>
        <w:rPr>
          <w:rFonts w:hint="eastAsia" w:ascii="方正仿宋简体" w:hAnsi="方正仿宋简体" w:eastAsia="方正仿宋简体" w:cs="方正仿宋简体"/>
          <w:bCs/>
          <w:iCs/>
          <w:kern w:val="0"/>
          <w:sz w:val="26"/>
          <w:szCs w:val="26"/>
          <w:lang w:val="zh-CN" w:bidi="zh-CN"/>
        </w:rPr>
        <w:tab/>
      </w:r>
      <w:r>
        <w:rPr>
          <w:rFonts w:hint="eastAsia" w:ascii="方正仿宋简体" w:hAnsi="方正仿宋简体" w:eastAsia="方正仿宋简体" w:cs="方正仿宋简体"/>
          <w:bCs/>
          <w:iCs/>
          <w:kern w:val="0"/>
          <w:sz w:val="26"/>
          <w:szCs w:val="26"/>
          <w:lang w:val="zh-CN" w:bidi="zh-CN"/>
        </w:rPr>
        <w:t>附则</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第三十七条</w:t>
      </w:r>
      <w:r>
        <w:rPr>
          <w:rFonts w:hint="eastAsia" w:ascii="方正仿宋简体" w:hAnsi="方正仿宋简体" w:eastAsia="方正仿宋简体" w:cs="方正仿宋简体"/>
          <w:bCs/>
          <w:iCs/>
          <w:kern w:val="0"/>
          <w:sz w:val="26"/>
          <w:szCs w:val="26"/>
          <w:lang w:val="zh-CN" w:bidi="zh-CN"/>
        </w:rPr>
        <w:t>无形资产管理工作的奖惩依照有关规定执。</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第三十八条</w:t>
      </w:r>
      <w:r>
        <w:rPr>
          <w:rFonts w:hint="eastAsia" w:ascii="方正仿宋简体" w:hAnsi="方正仿宋简体" w:eastAsia="方正仿宋简体" w:cs="方正仿宋简体"/>
          <w:bCs/>
          <w:iCs/>
          <w:kern w:val="0"/>
          <w:sz w:val="26"/>
          <w:szCs w:val="26"/>
          <w:lang w:val="zh-CN" w:bidi="zh-CN"/>
        </w:rPr>
        <w:t xml:space="preserve"> 市属高校、民办高校的无形资产管理可参照本办法执行。</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第三十九条</w:t>
      </w:r>
      <w:r>
        <w:rPr>
          <w:rFonts w:hint="eastAsia" w:ascii="方正仿宋简体" w:hAnsi="方正仿宋简体" w:eastAsia="方正仿宋简体" w:cs="方正仿宋简体"/>
          <w:bCs/>
          <w:iCs/>
          <w:kern w:val="0"/>
          <w:sz w:val="26"/>
          <w:szCs w:val="26"/>
          <w:lang w:val="zh-CN" w:bidi="zh-CN"/>
        </w:rPr>
        <w:t xml:space="preserve"> 高校应根据本办法制定具体实施意见，并报学校主管部门和省财政厅备案。</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楷体" w:hAnsi="楷体" w:eastAsia="楷体" w:cs="楷体"/>
          <w:bCs/>
          <w:iCs/>
          <w:kern w:val="0"/>
          <w:sz w:val="26"/>
          <w:szCs w:val="26"/>
          <w:lang w:val="zh-CN" w:bidi="zh-CN"/>
        </w:rPr>
        <w:t>第四十条</w:t>
      </w:r>
      <w:r>
        <w:rPr>
          <w:rFonts w:hint="eastAsia" w:ascii="方正仿宋简体" w:hAnsi="方正仿宋简体" w:eastAsia="方正仿宋简体" w:cs="方正仿宋简体"/>
          <w:bCs/>
          <w:iCs/>
          <w:kern w:val="0"/>
          <w:sz w:val="26"/>
          <w:szCs w:val="26"/>
          <w:lang w:val="zh-CN" w:bidi="zh-CN"/>
        </w:rPr>
        <w:t>本办法自发布之日起施行。</w:t>
      </w:r>
    </w:p>
    <w:p>
      <w:pPr>
        <w:spacing w:line="400" w:lineRule="exact"/>
        <w:ind w:left="380" w:right="653" w:firstLine="520" w:firstLineChars="200"/>
        <w:jc w:val="left"/>
        <w:rPr>
          <w:rFonts w:ascii="方正仿宋简体" w:hAnsi="方正仿宋简体" w:eastAsia="方正仿宋简体" w:cs="方正仿宋简体"/>
          <w:bCs/>
          <w:iCs/>
          <w:sz w:val="26"/>
          <w:szCs w:val="26"/>
        </w:rPr>
        <w:sectPr>
          <w:pgSz w:w="11900" w:h="16838"/>
          <w:pgMar w:top="1417" w:right="1701" w:bottom="1417" w:left="1701" w:header="850" w:footer="850" w:gutter="0"/>
          <w:cols w:space="720" w:num="1"/>
          <w:docGrid w:type="lines" w:linePitch="366" w:charSpace="0"/>
        </w:sectPr>
      </w:pPr>
    </w:p>
    <w:p>
      <w:pPr>
        <w:spacing w:line="400" w:lineRule="exact"/>
        <w:ind w:firstLine="520" w:firstLineChars="200"/>
        <w:jc w:val="left"/>
        <w:rPr>
          <w:rFonts w:ascii="方正仿宋简体" w:hAnsi="方正仿宋简体" w:eastAsia="方正仿宋简体" w:cs="方正仿宋简体"/>
          <w:sz w:val="26"/>
          <w:szCs w:val="26"/>
        </w:rPr>
      </w:pPr>
    </w:p>
    <w:p>
      <w:pPr>
        <w:autoSpaceDE w:val="0"/>
        <w:autoSpaceDN w:val="0"/>
        <w:spacing w:line="400" w:lineRule="exact"/>
        <w:ind w:firstLine="800" w:firstLineChars="200"/>
        <w:jc w:val="center"/>
        <w:rPr>
          <w:rFonts w:ascii="方正小标宋简体" w:eastAsia="方正小标宋简体"/>
          <w:b/>
          <w:sz w:val="40"/>
          <w:szCs w:val="40"/>
          <w:lang w:val="zh-CN"/>
        </w:rPr>
      </w:pPr>
      <w:r>
        <w:rPr>
          <w:rFonts w:hint="eastAsia" w:ascii="方正小标宋简体" w:eastAsia="方正小标宋简体"/>
          <w:b/>
          <w:sz w:val="40"/>
          <w:szCs w:val="40"/>
          <w:lang w:val="zh-CN"/>
        </w:rPr>
        <w:t>山东省政府</w:t>
      </w:r>
    </w:p>
    <w:p>
      <w:pPr>
        <w:autoSpaceDE w:val="0"/>
        <w:autoSpaceDN w:val="0"/>
        <w:spacing w:line="400" w:lineRule="exact"/>
        <w:ind w:firstLine="640" w:firstLineChars="200"/>
        <w:jc w:val="center"/>
        <w:rPr>
          <w:rFonts w:ascii="方正小标宋简体" w:eastAsia="方正小标宋简体"/>
          <w:b/>
          <w:sz w:val="32"/>
          <w:szCs w:val="21"/>
          <w:lang w:val="zh-CN"/>
        </w:rPr>
      </w:pPr>
      <w:r>
        <w:rPr>
          <w:rFonts w:hint="eastAsia" w:ascii="方正小标宋简体" w:eastAsia="方正小标宋简体"/>
          <w:b/>
          <w:sz w:val="32"/>
          <w:szCs w:val="21"/>
          <w:lang w:val="zh-CN"/>
        </w:rPr>
        <w:t>关于加快科技成果转化 提高企业自主创新能力的意见</w:t>
      </w:r>
    </w:p>
    <w:p>
      <w:pPr>
        <w:autoSpaceDE w:val="0"/>
        <w:autoSpaceDN w:val="0"/>
        <w:spacing w:line="400" w:lineRule="exact"/>
        <w:ind w:firstLine="640" w:firstLineChars="200"/>
        <w:jc w:val="center"/>
        <w:rPr>
          <w:rFonts w:ascii="方正小标宋简体" w:eastAsia="方正小标宋简体"/>
          <w:b/>
          <w:sz w:val="32"/>
          <w:szCs w:val="21"/>
          <w:lang w:val="zh-CN"/>
        </w:rPr>
      </w:pPr>
      <w:r>
        <w:rPr>
          <w:rFonts w:hint="eastAsia" w:ascii="方正小标宋简体" w:eastAsia="方正小标宋简体"/>
          <w:b/>
          <w:sz w:val="32"/>
          <w:szCs w:val="21"/>
          <w:lang w:val="zh-CN"/>
        </w:rPr>
        <w:t>（试行）</w:t>
      </w:r>
    </w:p>
    <w:p>
      <w:pPr>
        <w:widowControl/>
        <w:shd w:val="clear" w:color="auto" w:fill="FFFFFF"/>
        <w:spacing w:line="400" w:lineRule="exact"/>
        <w:jc w:val="center"/>
        <w:rPr>
          <w:rFonts w:ascii="黑体" w:hAnsi="黑体" w:eastAsia="黑体" w:cs="宋体"/>
          <w:color w:val="4A4A4A"/>
          <w:sz w:val="30"/>
          <w:szCs w:val="30"/>
          <w:lang w:val="zh-CN"/>
        </w:rPr>
      </w:pPr>
      <w:r>
        <w:rPr>
          <w:rFonts w:hint="eastAsia" w:ascii="黑体" w:hAnsi="黑体" w:eastAsia="黑体" w:cs="宋体"/>
          <w:color w:val="4A4A4A"/>
          <w:sz w:val="30"/>
          <w:szCs w:val="30"/>
          <w:lang w:val="zh-CN"/>
        </w:rPr>
        <w:t>鲁政发[2012]45号</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为贯彻落实党的十八大精神和全国科技创新大会精神，深化改革，加快科技成果转化、提高企业自主创新能力，推进创新型省份建设，根据《中共中央国务院关于深化科技体制改革加快国家创新体系建设的意见》（中发[2012]6 号），结合我省实际，制定本意见。</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一、允许和鼓励在鲁高等学校、科研院所职务发明成果的所得收益，按至少 60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、最多 95</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的比例划归参与研发的科技人员及其团队拥有，省及市、县（市、区）科技计划对该成果转化项目给予优先立项。</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二、在鲁高等学校、科研院所职务发明成果一年内未实施转化的，在成果所有权不变更的前提下，成果完成人或团队拥有成果转化处置权，转化收益中至少 70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、最多 95</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归成果完成人或团队所有。</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三、鼓励在鲁高等学校、科研院所以科技成果作价入股的企业、国有控股的院所转制企业、高新技术企业实施企业股权（股权奖励、股权出售、股票期权）激励以及分红激励试点。</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四、在鲁高等学校、科研院所科技人员创办的企业，其知识产权等无形资产可按至少 50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、最多 70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的比例折算为技术股份。高等学校、科研院所转化职务科技成果以股份或出资比例等股权形式给予科技人员个人奖励，获奖人在取得股份、出资比例时，暂不征收个人所得税。申请设立企业注册资本在 10 万元以下的（一人有限公司除外），可以申请免缴首期注册资本，股东在公司成立之日起 3 个月内缴付不低于 3 万元的注册资本金，其余出资两年内缴足。</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五、对在鲁高等学校、科研院所科技人员新创办的科技型企业和经认定的省级以上新产品，由各类科技专项资金、科技型中小企业等专项资金优先扶持、重点倾斜。</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六、允许和鼓励在鲁高等学校、科研院所和科技推广机构的科技人员（包括担任行政领导职务的科技人员）在完成本单位布置的各项工作任务前提下兼职科技创业、从事科技成果转化活动，其收入归个人所有。</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七、鼓励在鲁高等学校允许全日制在校学生休学创业。凡创办科技型企业的学生，可视为其参加学习、实训、实践教育的时间，并按相关规定计入学分。在规定时间内，可重返学校完成学业。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八、鼓励产业技术创新合作社会组织登记为社会团体或民办非企业单位法人，推进有关单位建立持续稳定的合作关系。</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九、企业为开发新技术、新产品、新工艺发生的研究开发费用，未形成无形资产计入当期损益的，在按照规定据实扣除的基础上,按照研究开发费用的 50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加计扣除；形成无形资产的，按照无形资产成本的150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摊销。</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省重点工业企业（集团）、省级以上工程技术研究中心、企业重点实验室、企业技术中心依托企业、产业技术创新战略联盟牵头企业研发投入占上年销售总额的比例以不低于 3</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计提，并逐年增长。</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十、经批准在企业建立的国家级和省级工程技术研究中心、企业重点实验室、企业技术中心、工程中心，由企业据实报送相关资料,其科技人员实际发放的工资额在计算应纳税所得额时可据实扣除。</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十一、鼓励和允许企业从科研成果转化产生的经济效益中，按比例提成奖励核心技术和自主知识产权所有人，及对核心技术、自主知识产权研发有重大贡献的科技和管理人员。</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二、加强对科技型企业的信贷融资服务，创新业务品种和服务模式。鼓励和引导科技型中小企业通过中小板、创业板等实现上市融资。支持科技型企业发行集合融资工具、企业债券、公司债、短期融资债券、中期票据及其他新型债务融资工具，加快推进区域集优债务融资和科技型中小企业私募债券试点步伐。积极推动符合条件的科技型中小企业利用场外股权交易市场进行融资。</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十三、创业投资企业采取股权投资方式投资于未上市中小高新技术企业 2 年(24 个月)以上，凡符合规定条件的，可以按照其对中小高新技术企业投资额的 70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，在股权持有满 2 年的当年抵扣该创业投资企业的企业所得税应纳税所得额；当年不足抵扣的，可以在以后纳税年度结转抵扣。</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逐步扩大省级创业投资引导基金规模，建立政府引导资金和社会资本共同支持初创科技型企业发展的风险投资机制，引导创业投资机构投资科技型中小企业。</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十四、获得非营利组织免税资格认定的国家大学科技园、科技企业孵化器的收入，属于非营利组织免税收入的，按照税法及其有关规定享受企业所得税优惠政策。</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十五、对符合《山东省高技术产业自主创新行动计划》（鲁发[2010]22 号）和列入省自主创新产品目录、省政府自主创新专项的战略性新兴产业项目，在计划指标安排、土地审批、供应上予以支持。上述项目中符合《山东省优先发展产业和农、林、牧、渔业产业产品初加工工业项目目录》，且用地集约的工业项目，在确定土地出让底价时可按不低于所在地土地等别相对应工业用地出让最低价标准的 70</w:t>
      </w:r>
      <w:r>
        <w:rPr>
          <w:rFonts w:hint="eastAsia" w:ascii="方正仿宋简体" w:hAnsi="方正仿宋简体" w:eastAsia="方正仿宋简体" w:cs="方正仿宋简体"/>
          <w:bCs/>
          <w:iCs/>
          <w:kern w:val="0"/>
          <w:sz w:val="26"/>
          <w:szCs w:val="26"/>
        </w:rPr>
        <w:drawing>
          <wp:inline distT="0" distB="0" distL="114300" distR="114300">
            <wp:extent cx="85725" cy="152400"/>
            <wp:effectExtent l="0" t="0" r="9525" b="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27" cstate="print"/>
                    <a:stretch>
                      <a:fillRect/>
                    </a:stretch>
                  </pic:blipFill>
                  <pic:spPr>
                    <a:xfrm>
                      <a:off x="0" y="0"/>
                      <a:ext cx="85725" cy="152400"/>
                    </a:xfrm>
                    <a:prstGeom prst="rect">
                      <a:avLst/>
                    </a:prstGeom>
                    <a:noFill/>
                    <a:ln>
                      <a:noFill/>
                    </a:ln>
                  </pic:spPr>
                </pic:pic>
              </a:graphicData>
            </a:graphic>
          </wp:inline>
        </w:drawing>
      </w:r>
      <w:r>
        <w:rPr>
          <w:rFonts w:hint="eastAsia" w:ascii="方正仿宋简体" w:hAnsi="方正仿宋简体" w:eastAsia="方正仿宋简体" w:cs="方正仿宋简体"/>
          <w:bCs/>
          <w:iCs/>
          <w:kern w:val="0"/>
          <w:sz w:val="26"/>
          <w:szCs w:val="26"/>
          <w:lang w:val="zh-CN" w:bidi="zh-CN"/>
        </w:rPr>
        <w:t>执行。对一次性缴纳土地出让价款有困难的，地方政府应根据实际给予支持，降低企业一次性投入成本。</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十六、企业委托省外或与省外合作开发先进技术的相关费用，可按规定享受加计扣除的税收优惠政策。</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省外科技人员来鲁从事科技成果转化或创办科技型企业，参照执行本意见。</w:t>
      </w:r>
    </w:p>
    <w:p>
      <w:pPr>
        <w:autoSpaceDE w:val="0"/>
        <w:autoSpaceDN w:val="0"/>
        <w:spacing w:line="400" w:lineRule="exact"/>
        <w:ind w:firstLine="520" w:firstLineChars="200"/>
        <w:jc w:val="left"/>
        <w:rPr>
          <w:rFonts w:ascii="方正仿宋简体" w:hAnsi="方正仿宋简体" w:eastAsia="方正仿宋简体" w:cs="方正仿宋简体"/>
          <w:bCs/>
          <w:iCs/>
          <w:kern w:val="0"/>
          <w:sz w:val="26"/>
          <w:szCs w:val="26"/>
          <w:lang w:val="zh-CN" w:bidi="zh-CN"/>
        </w:rPr>
      </w:pPr>
      <w:r>
        <w:rPr>
          <w:rFonts w:hint="eastAsia" w:ascii="方正仿宋简体" w:hAnsi="方正仿宋简体" w:eastAsia="方正仿宋简体" w:cs="方正仿宋简体"/>
          <w:bCs/>
          <w:iCs/>
          <w:kern w:val="0"/>
          <w:sz w:val="26"/>
          <w:szCs w:val="26"/>
          <w:lang w:val="zh-CN" w:bidi="zh-CN"/>
        </w:rPr>
        <w:t>各市及省直有关部门、单位根据本意见另行制定相关的实施细则或办法。</w:t>
      </w:r>
    </w:p>
    <w:p>
      <w:pPr>
        <w:spacing w:line="400" w:lineRule="exact"/>
        <w:ind w:firstLine="520" w:firstLineChars="200"/>
        <w:jc w:val="left"/>
        <w:rPr>
          <w:rFonts w:ascii="方正仿宋简体" w:hAnsi="方正仿宋简体" w:eastAsia="方正仿宋简体" w:cs="方正仿宋简体"/>
          <w:sz w:val="26"/>
          <w:szCs w:val="26"/>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spacing w:line="400" w:lineRule="exact"/>
        <w:ind w:right="159" w:firstLine="640" w:firstLineChars="200"/>
        <w:rPr>
          <w:rFonts w:ascii="方正仿宋简体" w:hAnsi="方正仿宋简体" w:eastAsia="方正仿宋简体" w:cs="方正仿宋简体"/>
          <w:sz w:val="32"/>
          <w:szCs w:val="32"/>
        </w:rPr>
      </w:pPr>
    </w:p>
    <w:p>
      <w:pPr>
        <w:pStyle w:val="4"/>
        <w:ind w:right="159"/>
        <w:rPr>
          <w:rFonts w:hAnsi="方正仿宋简体" w:cs="方正仿宋简体"/>
          <w:sz w:val="40"/>
          <w:szCs w:val="40"/>
        </w:rPr>
      </w:pPr>
      <w:r>
        <w:rPr>
          <w:rFonts w:hint="eastAsia" w:hAnsi="方正仿宋简体" w:cs="方正仿宋简体"/>
          <w:sz w:val="40"/>
          <w:szCs w:val="40"/>
        </w:rPr>
        <w:t>国务院关于印发实施《中华人民共和国促进科技成果转化法》若干规定的通知</w:t>
      </w:r>
    </w:p>
    <w:p>
      <w:pPr>
        <w:pStyle w:val="4"/>
        <w:spacing w:line="400" w:lineRule="exact"/>
        <w:ind w:right="159" w:firstLine="600" w:firstLineChars="200"/>
        <w:rPr>
          <w:rFonts w:ascii="方正仿宋简体" w:hAnsi="方正仿宋简体" w:eastAsia="方正仿宋简体" w:cs="方正仿宋简体"/>
          <w:sz w:val="26"/>
          <w:szCs w:val="26"/>
        </w:rPr>
      </w:pPr>
      <w:r>
        <w:rPr>
          <w:rFonts w:hint="eastAsia" w:ascii="黑体" w:hAnsi="黑体" w:eastAsia="黑体" w:cs="宋体"/>
          <w:b w:val="0"/>
          <w:bCs w:val="0"/>
          <w:color w:val="4A4A4A"/>
          <w:sz w:val="30"/>
          <w:szCs w:val="30"/>
          <w:lang w:bidi="ar-SA"/>
        </w:rPr>
        <w:t>(国发〔2016〕16 号)</w:t>
      </w:r>
    </w:p>
    <w:p>
      <w:pPr>
        <w:spacing w:line="400" w:lineRule="exact"/>
        <w:ind w:firstLine="520" w:firstLineChars="200"/>
        <w:jc w:val="left"/>
        <w:rPr>
          <w:rFonts w:ascii="方正仿宋简体" w:hAnsi="方正仿宋简体" w:eastAsia="方正仿宋简体" w:cs="方正仿宋简体"/>
          <w:sz w:val="26"/>
          <w:szCs w:val="26"/>
        </w:rPr>
      </w:pPr>
    </w:p>
    <w:p>
      <w:pPr>
        <w:pStyle w:val="4"/>
        <w:spacing w:line="400" w:lineRule="exact"/>
        <w:ind w:right="156"/>
        <w:jc w:val="left"/>
        <w:rPr>
          <w:rFonts w:ascii="方正仿宋简体" w:hAnsi="方正仿宋简体" w:eastAsia="方正仿宋简体" w:cs="方正仿宋简体"/>
          <w:b w:val="0"/>
          <w:iCs/>
          <w:sz w:val="26"/>
          <w:szCs w:val="26"/>
        </w:rPr>
      </w:pPr>
      <w:r>
        <w:rPr>
          <w:rFonts w:hint="eastAsia" w:ascii="方正仿宋简体" w:hAnsi="方正仿宋简体" w:eastAsia="方正仿宋简体" w:cs="方正仿宋简体"/>
          <w:b w:val="0"/>
          <w:iCs/>
          <w:sz w:val="26"/>
          <w:szCs w:val="26"/>
        </w:rPr>
        <w:t>省、自治区、直辖市人民政府，国务院各部委、各直属机构：</w:t>
      </w:r>
    </w:p>
    <w:p>
      <w:pPr>
        <w:pStyle w:val="6"/>
        <w:spacing w:line="400" w:lineRule="exact"/>
        <w:ind w:right="716" w:firstLine="520" w:firstLineChars="200"/>
        <w:jc w:val="left"/>
        <w:rPr>
          <w:bCs/>
          <w:iCs/>
          <w:sz w:val="26"/>
          <w:szCs w:val="26"/>
        </w:rPr>
      </w:pPr>
      <w:r>
        <w:rPr>
          <w:rFonts w:hint="eastAsia"/>
          <w:bCs/>
          <w:iCs/>
          <w:sz w:val="26"/>
          <w:szCs w:val="26"/>
        </w:rPr>
        <w:t>现将《实施〈中华人民共和国促进科技成果转化法〉若干规定》印发给你们，请认真贯彻执行。</w:t>
      </w:r>
    </w:p>
    <w:p>
      <w:pPr>
        <w:pStyle w:val="6"/>
        <w:spacing w:line="400" w:lineRule="exact"/>
        <w:ind w:left="6186" w:firstLine="520" w:firstLineChars="200"/>
        <w:jc w:val="left"/>
        <w:rPr>
          <w:bCs/>
          <w:iCs/>
          <w:sz w:val="26"/>
          <w:szCs w:val="26"/>
        </w:rPr>
      </w:pPr>
      <w:r>
        <w:rPr>
          <w:rFonts w:hint="eastAsia"/>
          <w:bCs/>
          <w:iCs/>
          <w:sz w:val="26"/>
          <w:szCs w:val="26"/>
        </w:rPr>
        <w:t>国务院</w:t>
      </w:r>
    </w:p>
    <w:p>
      <w:pPr>
        <w:pStyle w:val="6"/>
        <w:spacing w:line="400" w:lineRule="exact"/>
        <w:ind w:left="5545" w:firstLine="520" w:firstLineChars="200"/>
        <w:jc w:val="left"/>
        <w:rPr>
          <w:bCs/>
          <w:iCs/>
          <w:sz w:val="26"/>
          <w:szCs w:val="26"/>
        </w:rPr>
      </w:pPr>
      <w:r>
        <w:rPr>
          <w:rFonts w:hint="eastAsia"/>
          <w:bCs/>
          <w:iCs/>
          <w:sz w:val="26"/>
          <w:szCs w:val="26"/>
        </w:rPr>
        <w:t>2016 年 2 月 26 日</w:t>
      </w:r>
    </w:p>
    <w:p>
      <w:pPr>
        <w:pStyle w:val="6"/>
        <w:spacing w:line="400" w:lineRule="exact"/>
        <w:ind w:firstLine="520" w:firstLineChars="200"/>
        <w:jc w:val="left"/>
        <w:rPr>
          <w:bCs/>
          <w:iCs/>
          <w:sz w:val="26"/>
          <w:szCs w:val="26"/>
        </w:rPr>
      </w:pPr>
    </w:p>
    <w:p>
      <w:pPr>
        <w:pStyle w:val="6"/>
        <w:spacing w:line="400" w:lineRule="exact"/>
        <w:ind w:left="947" w:firstLine="520" w:firstLineChars="200"/>
        <w:jc w:val="left"/>
        <w:rPr>
          <w:bCs/>
          <w:iCs/>
          <w:sz w:val="26"/>
          <w:szCs w:val="26"/>
        </w:rPr>
      </w:pPr>
      <w:r>
        <w:rPr>
          <w:rFonts w:hint="eastAsia"/>
          <w:bCs/>
          <w:iCs/>
          <w:sz w:val="26"/>
          <w:szCs w:val="26"/>
        </w:rPr>
        <w:t>（此件公开发布）</w:t>
      </w:r>
    </w:p>
    <w:p>
      <w:pPr>
        <w:pStyle w:val="6"/>
        <w:jc w:val="center"/>
        <w:rPr>
          <w:rFonts w:ascii="方正小标宋简体" w:eastAsia="方正小标宋简体"/>
          <w:bCs/>
          <w:iCs/>
          <w:sz w:val="40"/>
          <w:szCs w:val="40"/>
        </w:rPr>
      </w:pPr>
      <w:r>
        <w:rPr>
          <w:rFonts w:hint="eastAsia"/>
          <w:sz w:val="26"/>
          <w:szCs w:val="26"/>
        </w:rPr>
        <w:br w:type="page"/>
      </w:r>
      <w:r>
        <w:rPr>
          <w:rFonts w:hint="eastAsia" w:ascii="方正小标宋简体" w:eastAsia="方正小标宋简体"/>
          <w:bCs/>
          <w:iCs/>
          <w:sz w:val="40"/>
          <w:szCs w:val="40"/>
        </w:rPr>
        <w:t>实施《中华人民共和国促进科技成果转化法》若干规定</w:t>
      </w:r>
    </w:p>
    <w:p>
      <w:pPr>
        <w:pStyle w:val="6"/>
        <w:spacing w:line="400" w:lineRule="exact"/>
        <w:ind w:firstLine="520" w:firstLineChars="200"/>
        <w:jc w:val="left"/>
        <w:rPr>
          <w:bCs/>
          <w:iCs/>
          <w:sz w:val="26"/>
          <w:szCs w:val="26"/>
        </w:rPr>
      </w:pPr>
      <w:r>
        <w:rPr>
          <w:rFonts w:hint="eastAsia"/>
          <w:bCs/>
          <w:iCs/>
          <w:sz w:val="26"/>
          <w:szCs w:val="26"/>
        </w:rPr>
        <w:t>为加快实施创新驱动发展战略，落实《中华人民共和国促进科技成果转化法》，打通科技与经济结合的通道，促进大众创业、万众创新，鼓励研究开发机构、高等院校、企业等创新主体及科技人员转移转化科技成果，推进经济提质增效升级，作出如下规定。</w:t>
      </w:r>
    </w:p>
    <w:p>
      <w:pPr>
        <w:pStyle w:val="6"/>
        <w:numPr>
          <w:ilvl w:val="0"/>
          <w:numId w:val="3"/>
        </w:numPr>
        <w:spacing w:line="400" w:lineRule="exact"/>
        <w:ind w:firstLine="520" w:firstLineChars="200"/>
        <w:jc w:val="left"/>
        <w:rPr>
          <w:bCs/>
          <w:iCs/>
          <w:sz w:val="26"/>
          <w:szCs w:val="26"/>
        </w:rPr>
      </w:pPr>
      <w:r>
        <w:rPr>
          <w:rFonts w:hint="eastAsia"/>
          <w:bCs/>
          <w:iCs/>
          <w:sz w:val="26"/>
          <w:szCs w:val="26"/>
        </w:rPr>
        <w:t>促进研究开发机构、高等院校技术转移</w:t>
      </w:r>
    </w:p>
    <w:p>
      <w:pPr>
        <w:pStyle w:val="6"/>
        <w:spacing w:line="400" w:lineRule="exact"/>
        <w:ind w:firstLine="520" w:firstLineChars="200"/>
        <w:jc w:val="left"/>
        <w:rPr>
          <w:bCs/>
          <w:iCs/>
          <w:sz w:val="26"/>
          <w:szCs w:val="26"/>
        </w:rPr>
      </w:pPr>
      <w:r>
        <w:rPr>
          <w:rFonts w:hint="eastAsia"/>
          <w:bCs/>
          <w:iCs/>
          <w:sz w:val="26"/>
          <w:szCs w:val="26"/>
        </w:rPr>
        <w:t>（一）国家鼓励研究开发机构、高等院校通过转让、许可或者作价投资等方式，向企业或者其他组织转移科技成果。国家设立的研究开发机构和高等院校应当采取措施，优先向中小微企业转移科技成果，为大众创业、万众创新提供技术供给。国家设立的研究开发机构、高等院校对其持有的科技成果，可以自主决定转让、许可或者作价投资，除涉及国家秘密、国家安全外，不需审批或者备案。</w:t>
      </w:r>
    </w:p>
    <w:p>
      <w:pPr>
        <w:pStyle w:val="6"/>
        <w:spacing w:line="400" w:lineRule="exact"/>
        <w:ind w:firstLine="520" w:firstLineChars="200"/>
        <w:jc w:val="left"/>
        <w:rPr>
          <w:bCs/>
          <w:iCs/>
          <w:sz w:val="26"/>
          <w:szCs w:val="26"/>
        </w:rPr>
      </w:pPr>
      <w:r>
        <w:rPr>
          <w:rFonts w:hint="eastAsia"/>
          <w:bCs/>
          <w:iCs/>
          <w:sz w:val="26"/>
          <w:szCs w:val="26"/>
        </w:rPr>
        <w:t>国家设立的研究开发机构、高等院校有权依法以持有的科技成果作价入股确认股权和出资比例，并通过发起人协议、投资协议或者公司章程等形式对科技成果的权属、作价、折股数量或者出资比例等事项明确约定，明晰产权。</w:t>
      </w:r>
    </w:p>
    <w:p>
      <w:pPr>
        <w:pStyle w:val="6"/>
        <w:spacing w:line="400" w:lineRule="exact"/>
        <w:ind w:firstLine="520" w:firstLineChars="200"/>
        <w:jc w:val="left"/>
        <w:rPr>
          <w:bCs/>
          <w:iCs/>
          <w:sz w:val="26"/>
          <w:szCs w:val="26"/>
        </w:rPr>
      </w:pPr>
      <w:r>
        <w:rPr>
          <w:rFonts w:hint="eastAsia"/>
          <w:bCs/>
          <w:iCs/>
          <w:sz w:val="26"/>
          <w:szCs w:val="26"/>
        </w:rPr>
        <w:t>（二）国家设立的研究开发机构、高等院校应当建立健全技术转移工作体系和机制，完善科技成果转移转化的管理制度，明确科技成果转化各项工作的责任主体，建立健全科技成果转化重大事项领导班子集体决策制度，加强专业化科技成果转化队伍建设，优化科技成果转化流程，通过本单位负责技术转移工作的机构或者委托独立的科技成果转化服务机构开展技术转移。鼓励研究开发机构、高等院校在不增加编制的前提下建设专业化技术转移机构。</w:t>
      </w:r>
    </w:p>
    <w:p>
      <w:pPr>
        <w:pStyle w:val="6"/>
        <w:spacing w:line="400" w:lineRule="exact"/>
        <w:ind w:firstLine="520" w:firstLineChars="200"/>
        <w:jc w:val="left"/>
        <w:rPr>
          <w:bCs/>
          <w:iCs/>
          <w:sz w:val="26"/>
          <w:szCs w:val="26"/>
        </w:rPr>
      </w:pPr>
      <w:r>
        <w:rPr>
          <w:rFonts w:hint="eastAsia"/>
          <w:bCs/>
          <w:iCs/>
          <w:sz w:val="26"/>
          <w:szCs w:val="26"/>
        </w:rPr>
        <w:t>国家设立的研究开发机构、高等院校转化科技成果所获得的收入全部留归单位，纳入单位预算，不上缴国库，扣除对完成和转化职务科技成果作出重要贡献人员的奖励和报酬后，应当主要用于科学技术研发与成果转化等相关工作，并对技术转移机构的运行和发展给予保障。</w:t>
      </w:r>
    </w:p>
    <w:p>
      <w:pPr>
        <w:pStyle w:val="6"/>
        <w:spacing w:line="400" w:lineRule="exact"/>
        <w:ind w:firstLine="520" w:firstLineChars="200"/>
        <w:jc w:val="left"/>
        <w:rPr>
          <w:bCs/>
          <w:iCs/>
          <w:sz w:val="26"/>
          <w:szCs w:val="26"/>
        </w:rPr>
      </w:pPr>
      <w:r>
        <w:rPr>
          <w:rFonts w:hint="eastAsia"/>
          <w:bCs/>
          <w:iCs/>
          <w:sz w:val="26"/>
          <w:szCs w:val="26"/>
        </w:rPr>
        <w:t>（三）国家设立的研究开发机构、高等院校对其持有的科技成果，应当通过协议定价、在技术交易市场挂牌交易、拍卖等市场化方式确定价格。协议定价的，科技成果持有单位应当在本单位公示科技成果名称和拟交易价格，公示时间不少于 15 日。单位应当明确并公开异议处理程序和办法。</w:t>
      </w:r>
    </w:p>
    <w:p>
      <w:pPr>
        <w:pStyle w:val="6"/>
        <w:spacing w:line="400" w:lineRule="exact"/>
        <w:ind w:firstLine="520" w:firstLineChars="200"/>
        <w:jc w:val="left"/>
        <w:rPr>
          <w:bCs/>
          <w:iCs/>
          <w:sz w:val="26"/>
          <w:szCs w:val="26"/>
        </w:rPr>
      </w:pPr>
      <w:r>
        <w:rPr>
          <w:rFonts w:hint="eastAsia"/>
          <w:bCs/>
          <w:iCs/>
          <w:sz w:val="26"/>
          <w:szCs w:val="26"/>
        </w:rPr>
        <w:t>（四）国家鼓励以科技成果作价入股方式投资的中小企业充分利用资本市场做大做强，国务院财政、科技行政主管部门要研究制定国家设立的研究开发机构、高等院校以技术入股形成的国有股在企业上市时豁免向全国社会保障基金转持的有关政策。</w:t>
      </w:r>
    </w:p>
    <w:p>
      <w:pPr>
        <w:pStyle w:val="6"/>
        <w:numPr>
          <w:ilvl w:val="0"/>
          <w:numId w:val="4"/>
        </w:numPr>
        <w:spacing w:line="400" w:lineRule="exact"/>
        <w:ind w:firstLine="520" w:firstLineChars="200"/>
        <w:jc w:val="left"/>
        <w:rPr>
          <w:bCs/>
          <w:iCs/>
          <w:sz w:val="26"/>
          <w:szCs w:val="26"/>
        </w:rPr>
      </w:pPr>
      <w:r>
        <w:rPr>
          <w:rFonts w:hint="eastAsia"/>
          <w:bCs/>
          <w:iCs/>
          <w:sz w:val="26"/>
          <w:szCs w:val="26"/>
        </w:rPr>
        <w:t>国家设立的研究开发机构、高等院校应当按照规定格式，于每年 3 月 30 日前向其主管部门报送本单位上一年度科技成果转化情况的年度报告，主管部门审核后于每年 4月 30 日前将各单位科技成果转化年度报告报送至科技、财政行政主管部门指定的信息管理系统。年度报告内容主要包括：</w:t>
      </w:r>
    </w:p>
    <w:p>
      <w:pPr>
        <w:pStyle w:val="6"/>
        <w:spacing w:line="400" w:lineRule="exact"/>
        <w:ind w:firstLine="520" w:firstLineChars="200"/>
        <w:jc w:val="left"/>
        <w:rPr>
          <w:bCs/>
          <w:iCs/>
          <w:sz w:val="26"/>
          <w:szCs w:val="26"/>
        </w:rPr>
      </w:pPr>
      <w:r>
        <w:rPr>
          <w:rFonts w:hint="eastAsia"/>
          <w:bCs/>
          <w:iCs/>
          <w:sz w:val="26"/>
          <w:szCs w:val="26"/>
          <w:lang w:val="en-US"/>
        </w:rPr>
        <w:t>1.</w:t>
      </w:r>
      <w:r>
        <w:rPr>
          <w:rFonts w:hint="eastAsia"/>
          <w:bCs/>
          <w:iCs/>
          <w:sz w:val="26"/>
          <w:szCs w:val="26"/>
        </w:rPr>
        <w:t>科技成果转化取得的总体成效和面临的问题；</w:t>
      </w:r>
    </w:p>
    <w:p>
      <w:pPr>
        <w:pStyle w:val="6"/>
        <w:spacing w:line="400" w:lineRule="exact"/>
        <w:ind w:firstLine="520" w:firstLineChars="200"/>
        <w:jc w:val="left"/>
        <w:rPr>
          <w:bCs/>
          <w:iCs/>
          <w:sz w:val="26"/>
          <w:szCs w:val="26"/>
        </w:rPr>
      </w:pPr>
      <w:r>
        <w:rPr>
          <w:rFonts w:hint="eastAsia"/>
          <w:bCs/>
          <w:iCs/>
          <w:sz w:val="26"/>
          <w:szCs w:val="26"/>
        </w:rPr>
        <w:t>2.依法取得科技成果的数量及有关情况；</w:t>
      </w:r>
    </w:p>
    <w:p>
      <w:pPr>
        <w:pStyle w:val="6"/>
        <w:spacing w:line="400" w:lineRule="exact"/>
        <w:ind w:firstLine="520" w:firstLineChars="200"/>
        <w:jc w:val="left"/>
        <w:rPr>
          <w:bCs/>
          <w:iCs/>
          <w:sz w:val="26"/>
          <w:szCs w:val="26"/>
        </w:rPr>
      </w:pPr>
      <w:r>
        <w:rPr>
          <w:rFonts w:hint="eastAsia"/>
          <w:bCs/>
          <w:iCs/>
          <w:sz w:val="26"/>
          <w:szCs w:val="26"/>
        </w:rPr>
        <w:t>3.科技成果转让、许可和作价投资情况；</w:t>
      </w:r>
    </w:p>
    <w:p>
      <w:pPr>
        <w:pStyle w:val="6"/>
        <w:spacing w:line="400" w:lineRule="exact"/>
        <w:ind w:firstLine="520" w:firstLineChars="200"/>
        <w:jc w:val="left"/>
        <w:rPr>
          <w:bCs/>
          <w:iCs/>
          <w:sz w:val="26"/>
          <w:szCs w:val="26"/>
        </w:rPr>
      </w:pPr>
      <w:r>
        <w:rPr>
          <w:rFonts w:hint="eastAsia"/>
          <w:bCs/>
          <w:iCs/>
          <w:sz w:val="26"/>
          <w:szCs w:val="26"/>
          <w:lang w:val="en-US"/>
        </w:rPr>
        <w:t>4.</w:t>
      </w:r>
      <w:r>
        <w:rPr>
          <w:rFonts w:hint="eastAsia"/>
          <w:bCs/>
          <w:iCs/>
          <w:sz w:val="26"/>
          <w:szCs w:val="26"/>
        </w:rPr>
        <w:t>推进产学研合作情况，包括自建、共建研究开发机构、技术转移机构、科技成果转化服务平台情况，签订技术开发合同、技术咨询</w:t>
      </w:r>
      <w:r>
        <w:rPr>
          <w:rFonts w:hint="eastAsia"/>
          <w:bCs/>
          <w:iCs/>
          <w:sz w:val="26"/>
          <w:szCs w:val="26"/>
          <w:lang w:val="en-US"/>
        </w:rPr>
        <w:t>合</w:t>
      </w:r>
      <w:r>
        <w:rPr>
          <w:rFonts w:hint="eastAsia"/>
          <w:bCs/>
          <w:iCs/>
          <w:sz w:val="26"/>
          <w:szCs w:val="26"/>
        </w:rPr>
        <w:t>同、技术服务合同情况，人才培养和人员流动情况等；</w:t>
      </w:r>
    </w:p>
    <w:p>
      <w:pPr>
        <w:pStyle w:val="26"/>
        <w:tabs>
          <w:tab w:val="left" w:pos="1183"/>
        </w:tabs>
        <w:spacing w:line="400" w:lineRule="exact"/>
        <w:ind w:left="0"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5.科技成果转化绩效和奖惩情况，包括科技成果转化取得收入及分配情况，对科技成果转化人员的奖励和报酬等。</w:t>
      </w:r>
    </w:p>
    <w:p>
      <w:pPr>
        <w:pStyle w:val="6"/>
        <w:spacing w:line="400" w:lineRule="exact"/>
        <w:ind w:left="560" w:firstLine="520" w:firstLineChars="200"/>
        <w:jc w:val="left"/>
        <w:rPr>
          <w:bCs/>
          <w:iCs/>
          <w:sz w:val="26"/>
          <w:szCs w:val="26"/>
        </w:rPr>
      </w:pPr>
      <w:r>
        <w:rPr>
          <w:rFonts w:hint="eastAsia"/>
          <w:bCs/>
          <w:iCs/>
          <w:sz w:val="26"/>
          <w:szCs w:val="26"/>
        </w:rPr>
        <w:t>二、激励科技人员创新创业</w:t>
      </w:r>
    </w:p>
    <w:p>
      <w:pPr>
        <w:pStyle w:val="6"/>
        <w:spacing w:line="400" w:lineRule="exact"/>
        <w:ind w:firstLine="520" w:firstLineChars="200"/>
        <w:jc w:val="left"/>
        <w:rPr>
          <w:bCs/>
          <w:iCs/>
          <w:sz w:val="26"/>
          <w:szCs w:val="26"/>
        </w:rPr>
      </w:pPr>
      <w:r>
        <w:rPr>
          <w:rFonts w:hint="eastAsia"/>
          <w:bCs/>
          <w:iCs/>
          <w:sz w:val="26"/>
          <w:szCs w:val="26"/>
        </w:rPr>
        <w:t>（六）国家设立的研究开发机构、高等院校制定转化科技成果收益分配制度时，要按照规定充分听取本单位科技人员的意见，并在本单位公开相关制度。依法对职务科技成果完成人和为成果转化作出重要贡献的其他人员给予奖励时，按照以下规定执行：</w:t>
      </w:r>
    </w:p>
    <w:p>
      <w:pPr>
        <w:pStyle w:val="6"/>
        <w:spacing w:line="400" w:lineRule="exact"/>
        <w:ind w:firstLine="520" w:firstLineChars="200"/>
        <w:jc w:val="left"/>
        <w:rPr>
          <w:bCs/>
          <w:iCs/>
          <w:sz w:val="26"/>
          <w:szCs w:val="26"/>
        </w:rPr>
      </w:pPr>
      <w:r>
        <w:rPr>
          <w:rFonts w:hint="eastAsia"/>
          <w:bCs/>
          <w:iCs/>
          <w:sz w:val="26"/>
          <w:szCs w:val="26"/>
        </w:rPr>
        <w:t>1.以技术转让或者许可方式转化职务科技成果的，应当从技术转让或者许可所取得的净收入中提取不低于 50%的比例用于奖励。</w:t>
      </w:r>
    </w:p>
    <w:p>
      <w:pPr>
        <w:pStyle w:val="6"/>
        <w:spacing w:line="400" w:lineRule="exact"/>
        <w:ind w:firstLine="520" w:firstLineChars="200"/>
        <w:jc w:val="left"/>
        <w:rPr>
          <w:bCs/>
          <w:iCs/>
          <w:sz w:val="26"/>
          <w:szCs w:val="26"/>
        </w:rPr>
      </w:pPr>
      <w:r>
        <w:rPr>
          <w:rFonts w:hint="eastAsia"/>
          <w:bCs/>
          <w:iCs/>
          <w:sz w:val="26"/>
          <w:szCs w:val="26"/>
          <w:lang w:val="en-US"/>
        </w:rPr>
        <w:t>2.</w:t>
      </w:r>
      <w:r>
        <w:rPr>
          <w:rFonts w:hint="eastAsia"/>
          <w:bCs/>
          <w:iCs/>
          <w:sz w:val="26"/>
          <w:szCs w:val="26"/>
        </w:rPr>
        <w:t>以科技成果作价投资实施转化的，应当从作价投资取得的股份或者出资比例中提取不低于 50%的比例用于奖励。</w:t>
      </w:r>
    </w:p>
    <w:p>
      <w:pPr>
        <w:pStyle w:val="26"/>
        <w:tabs>
          <w:tab w:val="left" w:pos="1189"/>
        </w:tabs>
        <w:spacing w:line="400" w:lineRule="exact"/>
        <w:ind w:left="0"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3.在研究开发和科技成果转化中作出主要贡献的人员，获得奖励的份额不低于奖励总额的 50%。</w:t>
      </w:r>
    </w:p>
    <w:p>
      <w:pPr>
        <w:pStyle w:val="26"/>
        <w:tabs>
          <w:tab w:val="left" w:pos="1200"/>
        </w:tabs>
        <w:spacing w:line="400" w:lineRule="exact"/>
        <w:ind w:left="0"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4.对科技人员在科技成果转化工作中开展技术开发、技术咨询、技术服务等活动给予的奖励，可按照促进科技成果转化法和本规定执行。</w:t>
      </w:r>
    </w:p>
    <w:p>
      <w:pPr>
        <w:pStyle w:val="6"/>
        <w:spacing w:line="400" w:lineRule="exact"/>
        <w:ind w:firstLine="520" w:firstLineChars="200"/>
        <w:jc w:val="left"/>
        <w:rPr>
          <w:bCs/>
          <w:iCs/>
          <w:sz w:val="26"/>
          <w:szCs w:val="26"/>
        </w:rPr>
      </w:pPr>
      <w:r>
        <w:rPr>
          <w:rFonts w:hint="eastAsia"/>
          <w:bCs/>
          <w:iCs/>
          <w:sz w:val="26"/>
          <w:szCs w:val="26"/>
        </w:rPr>
        <w:t>（七）国家设立的研究开发机构、高等院校科技人员在履行岗位职责、完成本职工作的前提下，经征得单位同意， 可以兼职到企业等从事科技成果转化活动，或者离岗创业，在原则上不超过 3 年时间内保留人事关系，从事科技成果转化活动。研究开发机构、高等院校应当建立制度规定或者与科技人员约定兼职、离岗从事科技成果转化活动期间和期满后的权利和义务。离岗创业期间，科技人员所承担的国家科技计划和基金项目原则上不得中止，确需中止的应当按照有关管理办法办理手续。</w:t>
      </w:r>
    </w:p>
    <w:p>
      <w:pPr>
        <w:pStyle w:val="6"/>
        <w:spacing w:line="400" w:lineRule="exact"/>
        <w:ind w:firstLine="520" w:firstLineChars="200"/>
        <w:jc w:val="left"/>
        <w:rPr>
          <w:bCs/>
          <w:iCs/>
          <w:sz w:val="26"/>
          <w:szCs w:val="26"/>
        </w:rPr>
      </w:pPr>
      <w:r>
        <w:rPr>
          <w:rFonts w:hint="eastAsia"/>
          <w:bCs/>
          <w:iCs/>
          <w:sz w:val="26"/>
          <w:szCs w:val="26"/>
        </w:rPr>
        <w:t>积极推动逐步取消国家设立的研究开发机构、高等院校及其内设院系所等业务管理岗位的行政级别，建立符合科技创新规律的人事管理制度，促进科技成果转移转化。</w:t>
      </w:r>
    </w:p>
    <w:p>
      <w:pPr>
        <w:pStyle w:val="6"/>
        <w:spacing w:line="400" w:lineRule="exact"/>
        <w:ind w:firstLine="520" w:firstLineChars="200"/>
        <w:jc w:val="left"/>
        <w:rPr>
          <w:bCs/>
          <w:iCs/>
          <w:sz w:val="26"/>
          <w:szCs w:val="26"/>
        </w:rPr>
      </w:pPr>
      <w:r>
        <w:rPr>
          <w:rFonts w:hint="eastAsia"/>
          <w:bCs/>
          <w:iCs/>
          <w:sz w:val="26"/>
          <w:szCs w:val="26"/>
        </w:rPr>
        <w:t>（</w:t>
      </w:r>
      <w:r>
        <w:rPr>
          <w:rFonts w:hint="eastAsia"/>
          <w:bCs/>
          <w:iCs/>
          <w:sz w:val="26"/>
          <w:szCs w:val="26"/>
          <w:lang w:val="en-US"/>
        </w:rPr>
        <w:t>八）</w:t>
      </w:r>
      <w:r>
        <w:rPr>
          <w:rFonts w:hint="eastAsia"/>
          <w:bCs/>
          <w:iCs/>
          <w:sz w:val="26"/>
          <w:szCs w:val="26"/>
        </w:rPr>
        <w:t>对于担任领导职务的科技人员获得科技成果转化奖励，按照分类管理的原则执行：</w:t>
      </w:r>
    </w:p>
    <w:p>
      <w:pPr>
        <w:pStyle w:val="6"/>
        <w:spacing w:line="400" w:lineRule="exact"/>
        <w:ind w:firstLine="520" w:firstLineChars="200"/>
        <w:jc w:val="left"/>
        <w:rPr>
          <w:bCs/>
          <w:iCs/>
          <w:sz w:val="26"/>
          <w:szCs w:val="26"/>
        </w:rPr>
      </w:pPr>
      <w:r>
        <w:rPr>
          <w:rFonts w:hint="eastAsia"/>
          <w:bCs/>
          <w:iCs/>
          <w:sz w:val="26"/>
          <w:szCs w:val="26"/>
        </w:rPr>
        <w:t>1.国务院部门、单位和各地方所属研究开发机构、高等院校等事业单位（不含内设机构）正职领导，以及上述事业单位所属具有独立法人资格单位的正职领导，是科技成果的主要完成人或者对科技成果转化作出重要贡献的，可以按照促进科技成果转化法的规定获得现金奖励，原则上不得获取股权激励。其他担任领导职务的科技人员，是科技成果的主要完成人或者对科技成果转化作出重要贡献的，可以按照促进科技成果转化法的规定获得现金、股份或者出资比例等奖励和报酬。</w:t>
      </w:r>
    </w:p>
    <w:p>
      <w:pPr>
        <w:pStyle w:val="6"/>
        <w:spacing w:line="400" w:lineRule="exact"/>
        <w:ind w:firstLine="520" w:firstLineChars="200"/>
        <w:jc w:val="left"/>
        <w:rPr>
          <w:bCs/>
          <w:iCs/>
          <w:sz w:val="26"/>
          <w:szCs w:val="26"/>
        </w:rPr>
      </w:pPr>
      <w:r>
        <w:rPr>
          <w:rFonts w:hint="eastAsia"/>
          <w:bCs/>
          <w:iCs/>
          <w:sz w:val="26"/>
          <w:szCs w:val="26"/>
        </w:rPr>
        <w:t>2.对担任领导职务的科技人员的科技成果转化收益分配实行公开公示制度，不得利用职权侵占他人科技成果转化收益。</w:t>
      </w:r>
    </w:p>
    <w:p>
      <w:pPr>
        <w:pStyle w:val="6"/>
        <w:spacing w:line="400" w:lineRule="exact"/>
        <w:ind w:firstLine="520" w:firstLineChars="200"/>
        <w:jc w:val="left"/>
        <w:rPr>
          <w:bCs/>
          <w:iCs/>
          <w:sz w:val="26"/>
          <w:szCs w:val="26"/>
        </w:rPr>
      </w:pPr>
      <w:r>
        <w:rPr>
          <w:rFonts w:hint="eastAsia"/>
          <w:bCs/>
          <w:iCs/>
          <w:sz w:val="26"/>
          <w:szCs w:val="26"/>
        </w:rPr>
        <w:t>（九）国家鼓励企业建立健全科技成果转化的激励分配机制，充分利用股权出售、股权奖励、股票期权、项目收益分红、岗位分红等方式激励科技人员开展科技成果转化。国务院财政、科技等行政主管部门要研究制定国有科技型企业股权和分红激励政策，结合深化国有企业改革，对科技人员实施激励。</w:t>
      </w:r>
    </w:p>
    <w:p>
      <w:pPr>
        <w:pStyle w:val="6"/>
        <w:spacing w:line="400" w:lineRule="exact"/>
        <w:ind w:firstLine="520" w:firstLineChars="200"/>
        <w:jc w:val="left"/>
        <w:rPr>
          <w:bCs/>
          <w:iCs/>
          <w:sz w:val="26"/>
          <w:szCs w:val="26"/>
        </w:rPr>
      </w:pPr>
      <w:r>
        <w:rPr>
          <w:rFonts w:hint="eastAsia"/>
          <w:bCs/>
          <w:iCs/>
          <w:sz w:val="26"/>
          <w:szCs w:val="26"/>
        </w:rPr>
        <w:t>（十）科技成果转化过程中，通过技术交易市场挂牌交易、拍卖等方式确定价格的，或者通过协议定价并在本单位及技术交易市场公示拟交易价格的，单位领导在履行勤勉尽责义务、没有牟取非法利益的前提下，免除其在科技成果定价中因科技成果转化后续价值变化产生的决策责任。</w:t>
      </w:r>
    </w:p>
    <w:p>
      <w:pPr>
        <w:pStyle w:val="6"/>
        <w:spacing w:line="400" w:lineRule="exact"/>
        <w:ind w:left="560" w:firstLine="520" w:firstLineChars="200"/>
        <w:jc w:val="left"/>
        <w:rPr>
          <w:bCs/>
          <w:iCs/>
          <w:sz w:val="26"/>
          <w:szCs w:val="26"/>
        </w:rPr>
      </w:pPr>
      <w:r>
        <w:rPr>
          <w:rFonts w:hint="eastAsia"/>
          <w:bCs/>
          <w:iCs/>
          <w:sz w:val="26"/>
          <w:szCs w:val="26"/>
        </w:rPr>
        <w:t>三、营造科技成果转移转化良好环境</w:t>
      </w:r>
    </w:p>
    <w:p>
      <w:pPr>
        <w:pStyle w:val="6"/>
        <w:spacing w:line="400" w:lineRule="exact"/>
        <w:ind w:firstLine="520" w:firstLineChars="200"/>
        <w:jc w:val="left"/>
        <w:rPr>
          <w:bCs/>
          <w:iCs/>
          <w:sz w:val="26"/>
          <w:szCs w:val="26"/>
        </w:rPr>
      </w:pPr>
      <w:r>
        <w:rPr>
          <w:rFonts w:hint="eastAsia"/>
          <w:bCs/>
          <w:iCs/>
          <w:sz w:val="26"/>
          <w:szCs w:val="26"/>
        </w:rPr>
        <w:t>（十一）研究开发机构、高等院校的主管部门以及财政、科技等相关部门，在对单位进行绩效考评时应当将科技成果转化的情况作为评价指标之一。</w:t>
      </w:r>
    </w:p>
    <w:p>
      <w:pPr>
        <w:pStyle w:val="6"/>
        <w:spacing w:line="400" w:lineRule="exact"/>
        <w:ind w:firstLine="520" w:firstLineChars="200"/>
        <w:jc w:val="left"/>
        <w:rPr>
          <w:bCs/>
          <w:iCs/>
          <w:sz w:val="26"/>
          <w:szCs w:val="26"/>
        </w:rPr>
      </w:pPr>
      <w:r>
        <w:rPr>
          <w:rFonts w:hint="eastAsia"/>
          <w:bCs/>
          <w:iCs/>
          <w:sz w:val="26"/>
          <w:szCs w:val="26"/>
        </w:rPr>
        <w:t>（十二）加大对科技成果转化绩效突出的研究开发机构、高等院校及人员的支持力度。研究开发机构、高等院校的主管部门以及财政、科技等相关部门根据单位科技成果转化年度报告情况等，对单位科技成果转化绩效予以评价，并将评价结果作为对单位予以支持的参考依据之一。</w:t>
      </w:r>
    </w:p>
    <w:p>
      <w:pPr>
        <w:pStyle w:val="6"/>
        <w:spacing w:line="400" w:lineRule="exact"/>
        <w:ind w:firstLine="520" w:firstLineChars="200"/>
        <w:jc w:val="left"/>
        <w:rPr>
          <w:bCs/>
          <w:iCs/>
          <w:sz w:val="26"/>
          <w:szCs w:val="26"/>
        </w:rPr>
      </w:pPr>
      <w:r>
        <w:rPr>
          <w:rFonts w:hint="eastAsia"/>
          <w:bCs/>
          <w:iCs/>
          <w:sz w:val="26"/>
          <w:szCs w:val="26"/>
        </w:rPr>
        <w:t>国家设立的研究开发机构、高等院校应当制定激励制度，对业绩突出的专业化技术转移机构给予奖励。</w:t>
      </w:r>
    </w:p>
    <w:p>
      <w:pPr>
        <w:pStyle w:val="6"/>
        <w:spacing w:line="400" w:lineRule="exact"/>
        <w:ind w:firstLine="520" w:firstLineChars="200"/>
        <w:jc w:val="left"/>
        <w:rPr>
          <w:bCs/>
          <w:iCs/>
          <w:sz w:val="26"/>
          <w:szCs w:val="26"/>
        </w:rPr>
      </w:pPr>
      <w:r>
        <w:rPr>
          <w:rFonts w:hint="eastAsia"/>
          <w:bCs/>
          <w:iCs/>
          <w:sz w:val="26"/>
          <w:szCs w:val="26"/>
        </w:rPr>
        <w:t>（十三）做好国家自主创新示范区税收试点政策向全国推广工作，落实好现有促进科技成果转化的税收政策。积极研究探索支持单位和个人科技成果转化的税收政策。</w:t>
      </w:r>
    </w:p>
    <w:p>
      <w:pPr>
        <w:pStyle w:val="6"/>
        <w:spacing w:line="400" w:lineRule="exact"/>
        <w:ind w:firstLine="520" w:firstLineChars="200"/>
        <w:jc w:val="left"/>
        <w:rPr>
          <w:bCs/>
          <w:iCs/>
          <w:sz w:val="26"/>
          <w:szCs w:val="26"/>
        </w:rPr>
      </w:pPr>
      <w:r>
        <w:rPr>
          <w:rFonts w:hint="eastAsia"/>
          <w:bCs/>
          <w:iCs/>
          <w:sz w:val="26"/>
          <w:szCs w:val="26"/>
        </w:rPr>
        <w:t>（十四）国务院相关部门要按照法律规定和事业单位分类改革的相关规定，研究制定符合所管理行业、领域特点的科技成果转化政策。涉及国家安全、国家秘密的科技成果转化，行业主管部门要完善管理制度，激励与规范相关科技成果转化活动。对涉密科技成果，相关单位应当根据情况及时做好解密、降密工作。</w:t>
      </w:r>
    </w:p>
    <w:p>
      <w:pPr>
        <w:pStyle w:val="6"/>
        <w:spacing w:line="400" w:lineRule="exact"/>
        <w:ind w:firstLine="520" w:firstLineChars="200"/>
        <w:jc w:val="left"/>
        <w:rPr>
          <w:bCs/>
          <w:iCs/>
          <w:sz w:val="26"/>
          <w:szCs w:val="26"/>
        </w:rPr>
      </w:pPr>
      <w:r>
        <w:rPr>
          <w:rFonts w:hint="eastAsia"/>
          <w:bCs/>
          <w:iCs/>
          <w:sz w:val="26"/>
          <w:szCs w:val="26"/>
        </w:rPr>
        <w:t>（十五）各地方、各部门要切实加强对科技成果转化工作的组织领导，及时研究新情况、新问题，加强政策协同配合，优化政策环境，开展监测评估，及时总结推广经验做法，加大宣传力度，提升科技成果转化的质量和效率，推动我国经济转型升级、提质增效。</w:t>
      </w:r>
    </w:p>
    <w:p>
      <w:pPr>
        <w:pStyle w:val="6"/>
        <w:spacing w:line="400" w:lineRule="exact"/>
        <w:ind w:firstLine="520" w:firstLineChars="200"/>
        <w:jc w:val="left"/>
        <w:rPr>
          <w:bCs/>
          <w:iCs/>
          <w:sz w:val="26"/>
          <w:szCs w:val="26"/>
        </w:rPr>
      </w:pPr>
      <w:r>
        <w:rPr>
          <w:rFonts w:hint="eastAsia"/>
          <w:bCs/>
          <w:iCs/>
          <w:sz w:val="26"/>
          <w:szCs w:val="26"/>
        </w:rPr>
        <w:t>（十六）《国务院办公厅转发科技部等部门关于促进科技成果转化若干规定的通知》（国办发〔1999〕29 号）同时废止。此前有关规定与本规定不一致的，按本规定执行。</w:t>
      </w:r>
    </w:p>
    <w:p>
      <w:pPr>
        <w:spacing w:line="400" w:lineRule="exact"/>
        <w:ind w:firstLine="520" w:firstLineChars="200"/>
        <w:jc w:val="left"/>
        <w:rPr>
          <w:rFonts w:ascii="方正仿宋简体" w:hAnsi="方正仿宋简体" w:eastAsia="方正仿宋简体" w:cs="方正仿宋简体"/>
          <w:sz w:val="26"/>
          <w:szCs w:val="26"/>
        </w:rPr>
        <w:sectPr>
          <w:footerReference r:id="rId9" w:type="default"/>
          <w:pgSz w:w="11900" w:h="16838"/>
          <w:pgMar w:top="1417" w:right="1701" w:bottom="1417" w:left="1701" w:header="850" w:footer="850" w:gutter="0"/>
          <w:cols w:space="720" w:num="1"/>
          <w:docGrid w:type="lines" w:linePitch="366" w:charSpace="0"/>
        </w:sect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(九)校办企业管理</w:t>
      </w: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spacing w:line="400" w:lineRule="exact"/>
        <w:ind w:firstLine="520" w:firstLineChars="200"/>
        <w:jc w:val="left"/>
        <w:rPr>
          <w:rFonts w:ascii="方正仿宋简体" w:hAnsi="方正仿宋简体" w:eastAsia="方正仿宋简体" w:cs="方正仿宋简体"/>
          <w:sz w:val="26"/>
          <w:szCs w:val="26"/>
        </w:rPr>
      </w:pPr>
    </w:p>
    <w:p>
      <w:pPr>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国务院关于推进国有资本投资、运营公司改革试点的实施意见</w:t>
      </w:r>
    </w:p>
    <w:p>
      <w:pPr>
        <w:spacing w:line="400" w:lineRule="exact"/>
        <w:ind w:firstLine="520" w:firstLineChars="200"/>
        <w:jc w:val="center"/>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国发〔2018〕23号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各省、自治区、直辖市人民政府，国务院各部委、各直属机构：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改组组建国有资本投资、运营公司，是以管资本为主改革国有资本授权经营体制的重要举措。按照《中共中央 国务院关于深化国有企业改革的指导意见》、《国务院关于改革和完善国有资产管理体制的若干意见》有关要求和党中央、国务院工作部署，为加快推进国有资本投资、运营公司改革试点工作，现提出以下实施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一、总体要求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（一）指导思想。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全面贯彻党的十九大和十九届二中、三中全会精神，以习近平新时代中国特色社会主义思想为指导，坚持社会主义市场经济改革方向，坚定不移加强党对国有企业的领导，着力创新体制机制，完善国有资产管理体制，深化国有企业改革，促进国有资产保值增值，推动国有资本做强做优做大，有效防止国有资产流失，切实发挥国有企业在深化供给侧结构性改革和推动经济高质量发展中的带动作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（二）试点目标。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通过改组组建国有资本投资、运营公司，构建国有资本投资、运营主体，改革国有资本授权经营体制，完善国有资产管理体制，实现国有资本所有权与企业经营权分离，实行国有资本市场化运作。发挥国有资本投资、运营公司平台作用，促进国有资本合理流动，优化国有资本投向，向重点行业、关键领域和优势企业集中，推动国有经济布局优化和结构调整，提高国有资本配置和运营效率，更好服务国家战略需要。试点先行，大胆探索，及时研究解决改革中的重点难点问题，尽快形成可复制、可推广的经验和模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（三）基本原则。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党的领导。建立健全中国特色现代国有企业制度，把党的领导融入公司治理各环节，把企业党组织内嵌到公司治理结构之中，明确和落实党组织在公司法人治理结构中的法定地位，充分发挥党组织的领导作用，确保党和国家方针政策、重大决策部署的贯彻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体制创新。以管资本为主加强国有资产监管，完善国有资本投资运营的市场化机制。科学合理界定政府及国有资产监管机构，国有资本投资、运营公司和所持股企业的权利边界，健全权责利相统一的授权链条，进一步落实企业市场主体地位，培育具有创新能力和国际竞争力的国有骨干企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坚持优化布局。通过授权国有资本投资、运营公司履行出资人职责，促进国有资本合理流动，优化国有资本布局，使国有资本投资、运营更好地服务于国家战略目标。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坚持强化监督。正确处理好授权经营和加强监督的关系，明确监管职责，构建并强化政府监督、纪检监察监督、出资人监督和社会监督的监督体系，增强监督的协同性、针对性和有效性，防止国有资产流失。</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二、试点内容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（一）功能定位。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投资、运营公司均为在国家授权范围内履行国有资本出资人职责的国有独资公司，是国有资本市场化运作的专业平台。公司以资本为纽带、以产权为基础依法自主开展国有资本运作，不从事具体生产经营活动。国有资本投资、运营公司对所持股企业行使股东职责，维护股东合法权益，以出资额为限承担有限责任，按照责权对应原则切实承担优化国有资本布局、提升国有资本运营效率、实现国有资产保值增值等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投资公司主要以服务国家战略、优化国有资本布局、提升产业竞争力为目标，在关系国家安全、国民经济命脉的重要行业和关键领域，按照政府确定的国有资本布局和结构优化要求，以对战略性核心业务控股为主，通过开展投资融资、产业培育和资本运作等，发挥投资引导和结构调整作用，推动产业集聚、化解过剩产能和转型升级，培育核心竞争力和创新能力，积极参与国际竞争，着力提升国有资本控制力、影响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运营公司主要以提升国有资本运营效率、提高国有资本回报为目标，以财务性持股为主，通过股权运作、基金投资、培育孵化、价值管理、有序进退等方式，盘活国有资产存量，引导和带动社会资本共同发展，实现国有资本合理流动和保值增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（二）组建方式。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按照国家确定的目标任务和布局领域，国有资本投资、运营公司可采取改组和新设两种方式设立。根据国有资本投资、运营公司的具体定位和发展需要，通过无偿划转或市场化方式重组整合相关国有资本。</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划入国有资本投资、运营公司的资产，为现有企业整体股权（资产）或部分股权。股权划入后，按现行政策加快剥离国有企业办社会职能和解决历史遗留问题，采取市场化方式处置不良资产和业务等。股权划入涉及上市公司的，应符合证券监管相关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（三）授权机制。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按照国有资产监管机构授予出资人职责和政府直接授予出资人职责两种模式开展国有资本投资、运营公司试点。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国有资产监管机构授权模式。政府授权国有资产监管机构依法对国有资本投资、运营公司履行出资人职责；国有资产监管机构根据国有资本投资、运营公司具体定位和实际情况，按照“一企一策”原则，授权国有资本投资、运营公司履行出资人职责，制定监管清单和责任清单，明确对国有资本投资、运营公司的监管内容和方式，依法落实国有资本投资、运营公司董事会职权。国有资本投资、运营公司对授权范围内的国有资本履行出资人职责。国有资产监管机构负责对国有资本投资、运营公司进行考核和评价，并定期向本级人民政府报告，重点说明所监管国有资本投资、运营公司贯彻国家战略目标、国有资产保值增值等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政府直接授权模式。政府直接授权国有资本投资、运营公司对授权范围内的国有资本履行出资人职责。国有资本投资、运营公司根据授权自主开展国有资本运作，贯彻落实国家战略和政策目标，定期向政府报告年度工作情况，重大事项及时报告。政府直接对国有资本投资、运营公司进行考核和评价等。</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（四）治理结构。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投资、运营公司不设股东会，由政府或国有资产监管机构行使股东会职权，政府或国有资产监管机构可以授权国有资本投资、运营公司董事会行使股东会部分职权。按照中国特色现代国有企业制度的要求，国有资本投资、运营公司设立党组织、董事会、经理层，规范公司治理结构，建立健全权责对等、运转协调、有效制衡的决策执行监督机制，充分发挥党组织的领导作用、董事会的决策作用、经理层的经营管理作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党组织。把加强党的领导和完善公司治理统一起来，充分发挥党组织把方向、管大局、保落实的作用。坚持党管干部原则与董事会依法产生、董事会依法选择经营管理者、经营管理者依法行使用人权相结合。按照“双向进入、交叉任职”的原则，符合条件的党组织领导班子成员可以通过法定程序进入董事会、经理层，董事会、经理层成员中符合条件的党员可以依照有关规定和程序进入党组织领导班子。党组织书记、董事长一般由同一人担任。对于重大经营管理事项，党组织研究讨论是董事会、经理层决策的前置程序。国务院直接授权的国有资本投资、运营公司，应当设立党组。纪检监察机关向国有资本投资、运营公司派驻纪检监察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董事会。国有资本投资、运营公司设立董事会，根据授权，负责公司发展战略和对外投资，经理层选聘、业绩考核、薪酬管理，向所持股企业派出董事等事项。董事会成员原则上不少于9人，由执行董事、外部董事、职工董事组成。保障国有资本投资、运营公司按市场化方式选择外部董事等权利，外部董事应在董事会中占多数，职工董事由职工代表大会选举产生。董事会设董事长1名，可设副董事长。董事会下设战略与投资委员会、提名委员会、薪酬与考核委员会、审计委员会、风险控制委员会等专门委员会。专门委员会在董事会授权范围内开展相关工作，协助董事会履行职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产监管机构授权的国有资本投资、运营公司的执行董事、外部董事由国有资产监管机构委派。其中，外部董事由国有资产监管机构根据国有资本投资、运营公司董事会结构需求，从专职外部董事中选择合适人员担任。董事长、副董事长由国有资产监管机构从董事会成员中指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直接授权的国有资本投资、运营公司执行董事、外部董事（股权董事）由国务院或地方人民政府委派，董事长、副董事长由国务院或地方人民政府从董事会成员中指定。其中，依据国有资本投资、运营公司职能定位，外部董事主要由政府综合管理部门和相关行业主管部门提名，选择专业人士担任，由政府委派。外部董事可兼任董事会下属专门委员会主席，按照公司治理结构的议事规则对国有资本投资、运营公司的重大事项发表相关领域专业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政府或国有资产监管机构委派外部董事要注重拓宽外部董事来源，人员选择要符合国有资本投资、运营公司定位和专业要求，建立外部董事评价机制，确保充分发挥外部董事作用。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3.经理层。国有资本投资、运营公司的经理层根据董事会授权负责国有资本日常投资运营。董事长与总经理原则上不得由同一人担任。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产监管机构授权的国有资本投资、运营公司党组织隶属中央、地方党委或国有资产监管机构党组织管理，领导班子及其成员的管理，以改组的企业集团为基础，根据具体情况区别对待。其中，由中管企业改组组建的国有资本投资、运营公司，领导班子及其成员由中央管理；由非中管的中央企业改组组建或新设的国有资本投资、运营公司，领导班子及其成员的管理按照干部管理权限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政府直接授权的国有资本投资、运营公司党组织隶属中央或地方党委管理，领导班子及其成员由中央或地方党委管理。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国有资本投资、运营公司董事长、董事（外部董事除外）、高级经理人员，原则上不得在其他有限责任公司、股份有限公司或者其他经济组织兼职。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（五）运行模式。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组织架构。国有资本投资、运营公司要按照市场化、规范化、专业化的管理导向，建立职责清晰、精简高效、运行专业的管控模式，分别结合职能定位具体负责战略规划、制度建设、资源配置、资本运营、财务监管、风险管控、绩效评价等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履职行权。国有资本投资、运营公司应积极推动所持股企业建立规范、完善的法人治理结构，并通过股东大会表决、委派董事和监事等方式行使股东权利，形成以资本为纽带的投资与被投资关系，协调和引导所持股企业发展，实现有关战略意图。国有资本投资、运营公司委派的董事、监事要依法履职行权，对企业负有忠实义务和勤勉义务，切实维护股东权益，不干预所持股企业日常经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选人用人机制。国有资本投资、运营公司要建立派出董事、监事候选人员库，由董事会下设的提名委员会根据拟任职公司情况提出差额适任人选，报董事会审议、任命。同时，要加强对派出董事、监事的业务培训、管理和考核评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4.财务监管。国有资本投资、运营公司应当严格按照国家有关财务制度规定，加强公司财务管理，防范财务风险。督促所持股企业加强财务管理，落实风险管控责任，提高运营效率。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5.收益管理。国有资本投资、运营公司以出资人身份，按照有关法律法规和公司章程，对所持股企业的利润分配进行审议表决，及时收取分红，并依规上交国有资本收益和使用管理留存收益。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考核机制。国有资本投资公司建立以战略目标和财务效益为主的管控模式，对所持股企业考核侧重于执行公司战略和资本回报状况。国有资本运营公司建立财务管控模式，对所持股企业考核侧重于国有资本流动和保值增值状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（六）监督与约束机制。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完善监督体系。整合出资人监管和审计、纪检监察、巡视等监督力量，建立监督工作会商机制，按照事前规范制度、事中加强监控、事后强化问责的原则，加强对国有资本投资、运营公司的统筹监督，提高监督效能。纪检监察机构加强对国有资本投资、运营公司党组织、董事会、经理层的监督，强化对国有资本投资、运营公司领导人员廉洁从业、行使权力等的监督。国有资本投资、运营公司要建立内部常态化监督审计机制和信息公开制度，加强对权力集中、资金密集、资源富集、资产聚集等重点部门和岗位的监管，在不涉及国家秘密和企业商业秘密的前提下，依法依规、及时准确地披露公司治理以及管理架构、国有资本整体运营状况、关联交易、企业负责人薪酬等信息，建设阳光国企，主动接受社会监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实施绩效评价。国有资本投资、运营公司要接受政府或国有资产监管机构的综合考核评价。考核评价内容主要包括贯彻国家战略、落实国有资本布局和结构优化目标、执行各项法律法规制度和公司章程，重大问题决策和重要干部任免，国有资本运营效率、保值增值、财务效益等方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三、实施步骤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有资本投资、运营公司试点工作应分级组织、分类推进、稳妥开展，并根据试点进展情况及时总结推广有关经验。中央层面，继续推进国有资产监管机构授权的国有资本投资、运营公司深化试点，并结合本实施意见要求不断完善试点工作。同时推进国务院直接授权的国有资本投资、运营公司试点，选择由财政部履行国有资产监管职责的中央企业以及中央党政机关和事业单位经营性国有资产集中统一监管改革范围内的企业稳步开展。地方层面，试点工作由各省级人民政府结合实际情况组织实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四、配套政策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推进简政放权。围绕落实出资人职责的定位，有序推进对国有资本投资、运营公司的放权。将包括国有产权流转等决策事项的审批权、经营班子业绩考核和薪酬管理权等授予国有资本投资、运营公司，相关管理要求和运行规则通过公司组建方案和公司章程予以明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综合改革试点。国有资本投资、运营公司所持股国有控股企业中，符合条件的可优先支持同时开展混合所有制改革、混合所有制企业员工持股、推行职业经理人制度、薪酬分配差异化改革等其他改革试点，充分发挥各项改革工作的综合效应。</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完善支持政策。严格落实国有企业重组整合涉及的资产评估增值、土地变更登记和国有资产无偿划转等方面税收优惠政策。简化工商税务登记、变更程序。鼓励国有资本投资、运营公司妥善解决历史遗留问题、处置低效无效资产。制定国有资本投资、运营公司的国有资本经营预算收支管理政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五、组织实施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加快推进国有资本投资、运营公司改革试点，是深化国有企业改革的重要组成部分，是改革和完善国有资产管理体制的重要举措。国务院国有企业改革领导小组负责国有资本投资、运营公司试点工作的组织协调和督促落实。中央组织部、国家发展改革委、财政部、人力资源社会保障部、国务院国资委等部门按照职责分工制定落实相关配套措施，密切配合、协同推进试点工作。中央层面的国有资本投资、运营公司试点方案，按程序报党中央、国务院批准后实施。</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省级人民政府对本地区国有资本投资、运营公司试点工作负总责，要紧密结合本地区实际情况，制定本地区国有资本投资、运营公司改革试点实施方案，积极稳妥组织开展试点工作。各省级人民政府要将本地区改革试点实施方案报国务院国有企业改革领导小组备案。</w:t>
      </w:r>
    </w:p>
    <w:p>
      <w:pPr>
        <w:spacing w:line="400" w:lineRule="exact"/>
        <w:ind w:firstLine="5460" w:firstLineChars="21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国务院</w:t>
      </w:r>
    </w:p>
    <w:p>
      <w:pPr>
        <w:spacing w:line="400" w:lineRule="exact"/>
        <w:ind w:firstLine="4810" w:firstLineChars="18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2018年7月14日</w:t>
      </w:r>
    </w:p>
    <w:p>
      <w:pPr>
        <w:jc w:val="center"/>
        <w:rPr>
          <w:rFonts w:ascii="方正小标宋简体" w:hAnsi="方正仿宋简体" w:eastAsia="方正小标宋简体" w:cs="方正仿宋简体"/>
          <w:b/>
          <w:bCs/>
          <w:sz w:val="40"/>
          <w:szCs w:val="40"/>
        </w:rPr>
      </w:pPr>
      <w:r>
        <w:rPr>
          <w:rFonts w:hint="eastAsia" w:ascii="方正小标宋简体" w:hAnsi="方正仿宋简体" w:eastAsia="方正小标宋简体" w:cs="方正仿宋简体"/>
          <w:b/>
          <w:bCs/>
          <w:sz w:val="40"/>
          <w:szCs w:val="40"/>
        </w:rPr>
        <w:t>《关于省属事业单位转制为企业有关问题的处理意见》的通知</w:t>
      </w:r>
    </w:p>
    <w:p>
      <w:pPr>
        <w:spacing w:line="400" w:lineRule="exact"/>
        <w:ind w:firstLine="640" w:firstLineChars="200"/>
        <w:jc w:val="center"/>
        <w:rPr>
          <w:rFonts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鲁政办字〔2019〕18号</w:t>
      </w:r>
    </w:p>
    <w:p>
      <w:pPr>
        <w:spacing w:line="400" w:lineRule="exact"/>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省政府各部门、各直属机构，各大企业，各高等院校：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委编办、省财政厅、省人力资源社会保障厅、省自然资源厅、省住房城乡建设厅、省国资委、省市场监管局、省医保局、省机关事务局、省税务局拟定的《关于省属事业单位转制为企业有关问题的处理意见》已经省政府同意，现印发给你们，请结合实际认真贯彻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山东省人民政府办公厅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2019年1月27日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关于省属事业单位转制为企业有关问题的处理意见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根据中央及省委省政府有关文件精神，现就省属事业单位转制为企业有关问题提出如下处理意见：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一、转制单位工作人员人事劳动关系转换</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省属事业单位经省政府批准转制为企业（以下称“转制单位”）后，事业单位要正式行文解除其与编制内工作人员的人事关系。转制后，转制单位应当按照《劳动法》《劳动合同法》及有关法律法规规定与编制内工作人员订立劳动合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（二）转制单位中的编制外工作人员，由转制单位按照有关法律法规和政策妥善安置。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二、省属事业单位转制后社会保险关系接续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（一）驻济省属事业单位。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1.养老保险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驻济转制单位，其养老保险经办工作由省社会保险经办机构负责并登记和管理。转制单位先按规定到省社会保险经办机构办理企业参保登记，并按规定为工作人员办理养老保险关系转移接续，工作人员在机关事业单位养老保险的个人账户储存额转入企业养老保险个人账户，再注销转制单位在机关事业单位养老保险的参保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第2页/(共18页)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自转制基准日起，转制单位和工作人员应当按企业职工基本养老保险有关规定缴纳养老保险费。缴费比例按转制后单位和职工应缴年份的相关规定执行。以全省在岗职工平均工资作为确定职工缴费基数上下限和转制后退休人员计算基本养老金的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按照《人力资源社会保障部、财政部关于机关事业单位基本养老保险关系和职业年金转移接续有关问题的通知》（人社部规〔2017〕1号）规定，办理基本养老保险转移接续、职业年金补记等相关手续。其中，转制单位尚未建立企业年金制度的，工作人员的职业年金个人账户由原管理机构继续管理运营；转制单位建立企业年金制度后，原职业年金个人账户资金转入企业年金个人账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2.医疗、工伤、生育保险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转制单位可继续参加省级直管单位基本医疗保险。转制单位离休人员继续执行原医疗保障办法，所需资金按原渠道解决；退休（内部退养）人员按规定参加省级直管单位基本医疗保险，享受相应医疗保险待遇；转制前已参加了驻济省属机关事业单位补充医疗保险的，转制后可以继续参加补充医疗保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（2）驻济转制单位按规定参加属地的工伤、生育保险。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3.失业保险。驻济转制单位的失业保险经办工作继续由省社会保险经办机构负责并登记和管理。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（二）非驻济省属事业单位。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非驻济省属事业单位转制为企业后，参加属地各项社会保险，享受相应待遇。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三、转制单位编制内工作人员养老保险一次性补贴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第3页/(共18页)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根据《关于从事生产经营活动事业单位转制为企业的意见》（鲁办发〔2014〕31号）有关规定，给予转制单位编制内工作人员养老保险一次性补贴，补贴标准计算公式中的工作年限，按照机关事业单位养老保险制度改革（2014年10月1日）前在机关事业单位、军队的视同缴费年限计算。月基本工资按转制基准日当月的岗位工资和薪级工资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（二）养老保险一次性补贴，由转制单位在首次缴纳企业职工基本养老保险费时，一次性交给参保地社会保险经办机构，全部计入职工企业基本养老保险个人账户。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（三）转制单位须在转企改制方案规定的时限内，按规定填写《省属转制单位转入企业工作人员养老保险一次性补贴审核表》，经主管部门（举办单位）审核后报省人力资源社会保障厅核准。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四、转制单位转制前已离退休人员生活待遇的发放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转制前已离退休人员，原国家规定的离退休费待遇标准不变，今后国家和省统一调整离退休生活待遇时，仍按事业单位的办法执行。统筹内的待遇，从企业职工基本养老保险统筹基金中支付；统筹外的待遇，由转制单位从原渠道解决，其中原属财政供养的离退休人员，由省财政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离休人员统筹内的待遇包括基本离休费和津补贴。其中，津补贴项目为：根据省人力资源社会保障厅、省财政厅《关于省属改企单位改企前离退休（内退）人员津补贴问题的意见》（2010年7月13日印发）规定的离休干部7项生活补贴、物价补贴、原职务补贴、地方福利补贴、驻济补贴、其他补贴（房租补贴）、禁食猪肉民族补贴、早期归侨工资补差、特需费、乘车费余额、护理费、1-3个月生活补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第4页/(共18页)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（三）退休人员统筹内待遇参照《关于确定机关事业单位养老保险缴费工资及待遇统筹项目的通知》（鲁人社办发〔2015〕78号）确定的统筹项目清单确定。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（四）转制前已离退休人员的取暖补贴，从企业基本养老保险统筹基金列支。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（五）转制前离退休人员（含内部退养人员）转制后死亡的，其按规定发放的丧葬补助费、一次性救济费（抚恤金）、供养直系亲属生活困难补助费，按规定标准从企业基本养老保险统筹基金中列支。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转制单位须按规定填写《省属转制单位原离退休人员离退休费及统筹项目内津贴补贴审核表》，经主管部门（举办单位）核准后，报省人力资源社会保障厅备案（备案结果不符合相关政策或备案要求的，需重新上报），作为省社会保险经办机构办理有关待遇发放的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五、内部退养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事业单位改企转制时，工作年限满30年或距国家法定退休年龄5年以内且工作年限满20年的工作人员（包含2014年10月1日后批复转制单位的编制内合同制工人），由本人申请，按管理权限审批后，可按照事业单位退休人员待遇办理内部退养。内部退养条件中的工作年限为实足年限。符合内部退养条件的工作人员，须由个人书面申请，按干部管理权限批准，并由单位与个人签订内退协议书，双方认为必要时还可进行公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内部退养人员的工作年限、职务职级（岗位等级）和任职时间计算截至转制基准日。内部退养人员除医疗保险（仅缴纳单位缴费部分）应继续缴费至法定退休年龄并按规定享受待遇外，其余按退休人员对待。内部退养人员到达法定退休年龄时按规定办理退休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第5页/(共18页)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内部退养人员比照转制前事业单位同等条件退休人员计算其内部退养期间的生活费。转制单位按规定填写《省属转制单位内部退养人员情况和内退期间生活费核准表》，经主管部门（举办单位）核准后，连同个人书面申请、单位与个人签订的内退协议书，报省人力资源社会保障厅备案（备案结果不符合相关政策或备案要求的，重新上报），作为内部退养人员内退期间缴费和发放其生活费的依据。内部退养人员内退期间生活费及待遇调整所需经费，由转制单位从原渠道解决，其中，原属财政供养的内部退养人员，由省财政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今后，国家出台事业单位改企转制具体实施办法时，涉及内部退养人员的待遇衔接政策，按国家相关规定执行。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六、转制单位原编制内女性工作人员退休年龄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已实行人员聘用制度的事业单位，由工勤技能岗位聘用到管理或专业技术岗位的工人，在管理或专业技术岗位聘用满10年（计算至55周岁，之前已被聘用的可连续计算，下同）且在所聘岗位退休的，可按55周岁办理退休，其中，达到法定工人退休年龄、单位批准其退休的，应当退休；在管理或专业技术岗位聘用不满10年的，达到国家法定的工人退休年龄的，应当退休。</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未实行人员聘用制度的事业单位，对办理聘用制干部手续的人员，按《省委组织部、省人事厅关于企事业单位聘用制女干部退休问题的复函》（鲁人函〔1997〕16号）规定执行；对没有办理聘用制手续，但以工人身份聘任（用）专业技术职务的女职工，按《省委组织部、省人事局关于干部退（离）休工作中几个具体问题的意见》（1990年12月5日）有关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第6页/(共18页)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事业单位县处级女干部和具有高级职称的女性专业技术人员，按《中共中央组织部、人力资源社会保障部关于机关事业单位县处级女干部和具有高级职称的女性专业技术人员退休年龄问题的通知》（组通字〔2015〕14号）有关规定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事业单位改企转制前按照组通字〔2015〕14号等规定精神选择60周岁退休的县处级女干部和具有高级职称的女性专业技术人员，根据本人自愿，可以在转制时办理内部退养手续，按事业单位退休人员对待，年满60周岁时按规定办理退休手续。</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（四）转制时符合内部退养条件的县处级女干部和具有高级职称的女性专业技术人员，选择进入企业的，可参保缴费至60周岁，按照企业养老保险有关规定办理退休手续。已办理退休手续的人员，不予追溯。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七、选择不进入转制单位的编制内工作人员的经济补偿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事业单位转制为国有企业时选择不进入转制单位的编制内工作人员，本人须提交辞聘申请书，按照人事管理权限批准。准予辞聘的人员，由转制单位发给经济补偿，具体标准为：在转制单位的工作年限每满1年，支付1个月的月平均工资；6个月以上不满1年的，按1年计算；不满6个月的，支付半个月的月平均工资。月平均工资按照本人在单位转制基准日之月前的12个月的平均应发工资计算。月平均工资高于转制单位所在设区的市上年度职工月平均工资3倍的，按上年度职工月平均工资的3倍计算；本人转制基准日之月前的12个月实际发放的月均工资收入低于本人月均基本工资的，按照本人转制基准日之月前的12个月的平均基本工资计算。</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第7页/(共18页)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（二）进入转制单位前，因组织调动、干部任命等原因在国家机关、事业单位、国有企业的工作年限视同为在转制单位的工作年限。但有以下情形的，在计算经济补偿时工作年限应予以剔除：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1.过去已领取经济补偿的工作年限；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2.因自动离职等原因不能计算为工龄的年限；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3.因被开除、追究刑事责任等原因解除聘用合同，依照有关规定不支付经济补偿的工作年限；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4.其他应当扣除的工作年限。</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符合（一）范围的工作人员，单位须按规定填写《省属转制单位工作人员经济补偿审批表》，经主管部门（举办单位）核准后，报省人力资源社会保障厅备案（备案结果不符合相关政策或备案要求的，重新上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选择不进入转制单位的编制内工作人员（包含解除聘用合同、调离、辞职、辞退的人员），按本意见第三条计算养老保险一次性补贴，转入养老保险个人账户。转制单位将其个人档案、养老保险个人账户转交省公共就业和人才服务机构，待再就业接续养老保险关系时，由省公共就业和人才服务机构将养老保险个人账户储存额转入新参保地的社会保险经办机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人力资源社会保障部关于废止部分规章的决定》（人力资源社会保障部令第28号）实施后（2016年4月12日）转制的省属事业单位，选择不进入转制单位的编制内工作人员，发放经济补偿，不再发放一次性辞职补助金。2016年4月12日之前已经完成改制的单位，在转制基准日尚未实行聘用制度的，按照一次性辞职补助金的发放标准执行；已经实行聘用制度的，按照经济补偿的标准由转制后的单位为工作人员补足差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第8页/(共18页)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八、费用的列支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（一）事业单位转制中处理人事劳动关系、衔接建立各项社会保险制度，转制前已离退休（内部退养）人员转制后生活待遇、医疗待遇所需费用，按原渠道解决。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（二）转制单位无力承担转制费用，先由主管部门（举办单位）统筹解决，可通过部门（单位）事业收入、经营收入、上级补助收入、附属单位上缴收入、其他收入等非财政资金及其形成的事业基金统筹解决。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对主管部门（举办单位）积极筹措资金，切实缓解转制单位困难的，省财政将在省直部门预算管理绩效综合评价中予以加分奖励；主管部门（举办单位）难以解决的，由省人力资源社会保障厅、省财政厅等部门进行审核认定，经审核认定为特困转制单位的，不进入转制单位工作人员的经济补偿、编制内工作人员养老保险一次性补贴和人社部规〔2017〕1号文件规定的职业年金补记费用、内部退养人员内退期间统筹项目内生活待遇所需资金、转制前已经离退休（退职）人员住房补贴和物业补贴所需资金，由省财政调剂解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九、土地资产处置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转制单位转制为国有企业的，其国有划拨土地转制后用途符合《划拨用地目录》的，可继续以划拨方式使用，不符合《划拨用地目录》的，应当依法实行有偿使用。转制单位转制为授权经营或国有控股企业的，国有划拨用地经省政府批准可采用国家作价出资（入股）方式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（二）转制单位转制为一般竞争性企业的，国有划拨用地可采用协议出让或租赁方式进行处置，具体应执行土地所在设区市、县（市）相关政策。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第9页/(共18页)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十、工商登记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转制单位在转制方案批复之日起6个月内完成工商登记。转制单位进行工商登记不需缴纳任何费用，在资产清算完结前也可以先按照有关规定办理工商登记。按照《公司法》《公司登记管理条例》的规定登记为有限责任公司或股份有限公司的，除募集上市的股份公司外，注册资本实行认缴制，工商登记时不需要先行缴纳注册资本，也不需要提交验资报告；按照《企业法人登记管理条例》登记为非公司制国有企业的，在国有资产管理部门办理企业国有资产产权登记后即可办理工商登记。</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（二）转制单位申请有限责任公司设立登记，需提交下列材料：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1.《公司登记（备案）申请书》；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2.《指定代表或者共同委托代理人授权委托书》；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3.全体股东签署的公司章程；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4.股东的主体资格证明或者自然人身份证件复印件；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5.法定代表人及董事、监事和经理的任职文件及身份证件复印件；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6.住所使用证明；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法律、行政法规和国务院决定规定设立有限责任公司必须报经批准的，或者公司申请登记的经营范围中有法律、行政法规和国务院决定规定必须在登记前报经批准的项目，提交有关批准文件或者许可证件的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8.符合第7项规定的企业，还需提交《企业名称预先核准通知书》或《企业名称自主申报告知书》和《企业名称自主申报使用承诺书》。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（三）转制单位申请股份有限责任公司设立登记，需提交下列材料：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1.《公司登记（备案）申请书》；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2.《指定代表或者共同委托代理人授权委托书》；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第10页/(共18页)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3.由股东大会会议主持人和出席会议的董事签署的股东大会会议纪录（募集设立的提交创立大会的会议记录）；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4.全体发起人签署或者出席股东大会或创立大会的董事签字的公司章程；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5.发起人的主体资格证明或者自然人身份证件复印件；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6.募集设立的股份有限公司提交依法设立的验资机构出具的验资证明。公开发行股票的提交国务院证券监督管理机构的批准文件；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7.法定代表人及董事、监事和经理的任职文件和身份证件复印件；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8.住所使用证明；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法律、行政法规和国务院决定规定设立有限责任公司必须报经批准的，或者公司申请登记的经营范围中有法律、行政法规和国务院决定规定必须在登记前报经批准的项目，提交有关批准文件或者许可证件的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10.符合第9项规定的企业，还需提交《企业名称预先核准通知书》或《企业名称自主申报告知书》和《企业名称自主申报使用承诺书》。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（四）转制单位申请非公司企业法人开业登记的，需提交下列材料：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1.《非公司企业法人登记(备案）申请书》；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2.《指定代表或者共同委托代理人授权委托书》；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法律、行政法规和国务院决定规定设立有限责任公司必须报经批准的，或者公司申请登记的经营范围中有法律、行政法规和国务院决定规定必须在登记前报经批准的项目，提交有关批准文件或者许可证件的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4.企业法人组织章程（主管部门（出资人）加盖公章）；</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5.主管部门（出资人）的主体资格证明；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第11页/(共18页)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6.主管部门（出资人）的出资证明（主管部门（出资人）为国有企业或者事业法人的，提交国有资产管理部门出具的国有资产产权登记证明）；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7.企业法定代表人的任职文件和身份证件复印件；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8.住所使用证明。</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9.符合第3项规定的企业，还需提交《企业名称预先核准通知书》或《企业名称自主申报告知书》和《企业名称自主申报使用承诺书》。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十一、优化转制后的布局结构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（一）根据纳入转制范围的事业单位人员、资产情况，本着既努力维持人员、资产、业务稳定，又充分发挥优质资产潜力的原则，分类提出转制后出资人的意见。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按照产业相近、推动转制后企业做强做优的思路，优先支持转制单位向具有优势产业板块的省属企业靠拢聚集。对原由省属企业管理的转制单位，明确其转制后仍由目前省属企业作为出资人。其他转制单位，充分发挥山东国投、山东国惠等平台公司作用，将转制后资产整体划入，通过资源整合、产业优化、改革重组等方式，优化经营资产布局，提高资产运营效率，实现国有资产保值增值。</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十二、事业单位转制为私营企业有关问题的处理意见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省属事业单位转制私营企业，除按照本通知第一至七条办理相关手续、享受相关待遇外，其他问题按下列规定办理。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（一）经济补偿及社会保险问题。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1.转制单位转制为私营企业的，转制单位应当按照本意见第七条第一项规定的标准为编制内工作人员支付经济补偿。</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2.驻济省属事业单位直接转制为私营企业的，其养老保险、医疗保险和失业保险可在省社会保险经办机构参保，也可在济南市社会保险经办机构参保。</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第12页/(共18页)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（二）相关费用的预留办法。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下列费用经省人力资源社会保障厅、省医保局审核后，从转制单位净资产中一次性扣除。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转制前离休人员统筹外待遇，一次性预留10年。离休干部医药费按照上年度离休干部医药费单独统筹额（未实行离休干部医药费单独统筹的，以上年度离休干部人均医药费支出额）为计提标准，一次性预留10年。离休干部服务管理费、公用经费、特需经费、查体费按规定一次性预留10年，并预留一次性后事处理费。预留经费要在转制企业职工安置费用中单独核算和列支，和人员安置费用一同申报、审核和拨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2.转制前退休（含内部退养）人员统筹外待遇，满80周岁的预留5年、不满80周岁的预留至85周岁。标准按转企改制时该项目年标准每年递增10%预留。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3.未参加医疗保险的，退休人员的医疗费以省属企业上年度退休人员人均医疗费用为基数，满80周岁的预留5年、不满80周岁的预留至85周岁，每年递增10%。</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4.因病或非因工死亡职工遗属生活困难补助费，按转制时执行的标准，对转制基准日前供养直系亲属满80周岁的预留5年、不满80周岁的预留至85周岁，未成年的预留到22周岁。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5.二十世纪五六十年代精简（减）退职人员生活费，按转制时执行的标准，对转制基准日前满80周岁的预留5年、不满80周岁的预留至85周岁。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6.转制前已离退休人员和内部退养人员的住房补贴按转制时执行的标准每年递增10%计算，物业补贴按转制时执行的标准计算，对转制基准日前满80周岁的预留5年、不满80周岁的预留至85周岁。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第13页/(共18页)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7.内部退养人员由企业缴纳的住房公积金，按照设区的市住房公积金管理的有关规定，以转制时内退人员生活费预留标准计算的企业按规定应缴存住房公积金数额为基数，预留至法定退休年龄。转制前选择60周岁退休的县处级女干部、具有高级职称的女性专业技术人员，在新的规定出台前，住房公积金预留至60周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8.内部退养人员内退期间生活费、医疗保险单位缴费部分、补充医疗保险和待遇调整所需费用，按照事业单位改国有企业及有关规定，每年递增10%计算，预留至法定退休年龄。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9.内退人员内退期间取暖补贴，预留至法定退休年龄。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10.内部退养人员中符合条件的独生子女父母退休时的一次性退休补贴，按照省人力资源社会保障厅、省财政厅印发的《山东省机关事业单位工作人员养老保险制度改革实施办法》（鲁人社发〔2015〕46号）规定，计算并预留所需费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11.对实行工伤保险制度后遭受事故伤害或患职业病并认定为工伤的职工，依据《工伤保险条例》及相关规定，预留、支付应由用人单位支付的费用。转制后的企业应当承担原转制事业单位的工伤保险责任。</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12.省级以上劳动模范荣誉津贴，按照《山东省人民政府办公厅关于进一步改善劳动模范待遇的通知》（鲁政办字〔2014〕103号）规定的条件和标准预留，满80周岁的预留5年、不满80周岁的预留至85周岁。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13.退休人员移交社区管理的一次性费用，内退人员退休时移交社区管理的一次性费用，均按照转制时当地政府规定的标准预留。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第14页/(共18页)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14.转制单位转制为私营企业的，预留费用纳入财政专户管理，专账核算，按相关规定发放。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（三）相关费用的支付。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工作人员核定的安置费用，除预留的离休干部费用须向有关部门或机构缴纳或移交外，经济补偿及内部退养人员中符合条件的独生子女父母退休时一次性退休补贴等一次性费用，由转制单位在办理产权登记前向职工支付完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（四）事业单位直接转制为私营企业过程中的资产处置按以下原则和程序办理。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1.基本原则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转制单位在关闭注销所办企业、收回对外投资，并按事业单位转企改制有关规定办理资产清查、财务审计、损失核销的基础上，对转制单位占有使用的国有资产分类进行处置。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（1）现金资产用于支付有关部门核定的改革成本后，剩余部分全部上缴省级国库，纳入财政预算管理。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对占用的办公用房，应按规定予以清理腾退。其中，权属已登记在转制事业单位名下的办公用房，应将其权属变更登记至省机关事务管理局或主管单位所属其他事业单位名下，确实难以腾退的，可设立5年过渡期，经省机关事务管理局批准，在过渡期内可由转制后的企业租赁使用；过渡期结束后，由其原主管单位收回并移交省机关事务管理局统一管理，或根据需要按国有资产管理有关规定进行处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（3）对车辆、办公设备、家具、专业设备资产等其他国有资产按规定程序在产权交易机构进行公开处置，处置收入上缴省级国库，纳入财政预算管理。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第15页/(共18页)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（4）对专利权、商标权、著作权、土地使用权、非专利技术、软件、商誉等无形资产按照评估价底价协议转让给改制企业；其名下的资质、设计资料由转制单位依法进行变更。</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（5）对债权债务，由转制后的企业按照中介机构财务审计和省财政厅确认价值承继。如债权大于债务，余额由转制后的企业出资购买；如债权小于债务，差额从应缴国库现金资产中相应扣减。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2.办理程序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（1）收回或处置投资。主管部门组织所属转制单位依据相关法律法规办理所办企业解散清算或国有股权转让事宜，凭清算报告和注销登记证明、国有股权转让证明向省财政厅提出核销事业单位对外投资申请。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（2）资产清查。由主管部门统一组织，转制单位资产清查工作组具体实施，资产清查结果由主管部门（举办单位）报送省财政厅。</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（3）财务审计。省财政厅接到主管部门报送财务审计申请后，委托中介机构完成对转制单位资产清查结果的财务审计，主管部门（举办单位）及转制单位配合。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4）损失核销。需要核销资产损失的，由主管部门（举办单位）结合中介机构审计报告提出处理意见，向省财政厅提出申请，省财政厅按照有关规定予以批复。不符合核销条件的资产损失由转制后的企业承担。符合资产损失税前扣除条件的，可按规定税前扣除。</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5）资产处置。主管部门（举办单位）就转制单位各类国有资产（含无形资产）分别提出划转、协议租赁或公开交易申请，省财政厅按有关规定委托中介机构对租赁价格和资产价值进行评估，并予以批复，主管部门（举办单位）依据省财政厅批复办理资产划转、协议租赁、委托产权交易机构公开交易、行政事业单位国有资产产权注销事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第16页/(共18页)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（6）事业企业转换时点。省财政厅批转中介机构出具的转制单位资产清查审计报告之日，事业单位处理账务，企业承接债权债务，并正式开业运营。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在确保国有资产不流失、业务工作不中断的前提下，上述各类资产处置和各项办理程序可以压茬进行，并联推进。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十三、协同推进转企改制工作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各转制单位要严格执行《山东省人民政府办公厅关于印发省属从事生产经营活动事业单位转制为企业工作方案的通知》（鲁政办发〔2015〕30号）有关政策规定，认真落实转制方案。转制单位主管部门（举办单位）按要求制订所属转制单位的改革工作方案，对改革时间安排、转企改制形式、国有资产保护和管理、人员安置以及转制后企业的法人治理等事项提出初步意见，报省事业单位改革领导小组办公室会同省直有关部门审核，改革工作方案经审核同意后，由省事业单位改革领导小组办公室书面通知主管部门（举办单位）按照改革工作方案，在1个月内制定转制方案（附人员安置方案），列明资产、人员编制、财务等基本情况，明确改革方式、资产清查处置、人员安置及人事劳动关系处理、经费预留、社会保险关系接续、转制后的管理体制和组织架构、党组织设置和党员组织关系接转、组织实施步骤以及其他需要报批的事项。转制方案要充分听取所在单位工作人员意见，人员安置方案要经职工大会或职工代表大会审议通过。主管部门（举办单位）将转制方案上报省政府，由省政府批复。</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第17页/(共18页)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改革工作方案书面通知之日前一个会计月末作为资产清查基准日，改革工作方案书面通知视为资产清查工作立项，主管部门（举办单位）无需再履行资产清查立项程序。</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省政府批复转制方案之日为转制基准日。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对于本意见印发前省政府已批复转制方案、因故尚未转制到位的单位，涉及人员待遇审核、社保关系转移接续等相关政策，可参照本意见执行。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转制单位和主管部门（举办单位）要高度重视，积极主动做好转企改制相关工作。自工商登记之日起10个工作日内，主管部门（举办单位）应当向省人力资源社会保障厅书面报送转制单位人员档案审核函和向社会保险经办机构提交企业参保账户开立申请。转制单位或主管部门（举办单位）要严格按干部人事档案管理规定整理，如管理不规范，按规定须审核的关键档案材料缺失，省人力资源社会保障厅反馈审核意见5个工作日内不能提供的，省人力资源社会保障厅须根据档案现有材料审核认定，办理人员安置和社会保险关系接续等手续。转制单位如再提供相关补正材料的，省人力资源社会保障厅按规定重新核算有关待遇。</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转制单位要注意保持党的工作连续性，在转制过程中，要按照有关规定及时理顺党组织隶属关系，接转党组织关系，正常开展党组织活动，并做好深入细致的思想政治工作，做到平稳有序衔接，确保党的领导贯穿转制全过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（三）对于转制单位以往从政府（财政或主管部门）借入资金形成的债务，按照程序报批后可转为政府对该事业单位的投入（债转拨）。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第18页/(共18页)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转制单位精减退职职工、转制前死亡人员供养直系亲属生活困难补助等费用，转制为国有企业或国有控股企业的，由转制后的企业管理和发放；转制后国有资本全部退出的单位，由转制后的企业管理和发放；经批准撤销的单位，委托原主管部门（举办单位）管理和发放。</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十四、其他事项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意见仅适用于按照《中共山东省委、山东省人民政府关于推进事业单位改革的意见》（鲁发〔2004〕15号）、《中共山东省委、山东省人民政府关于贯彻中发〔2011〕5号文件精神分类推进事业单位改革的实施意见》（鲁发〔2011〕16号）、《山东省人民政府关于同意大众报业集团等单位改革发展方案的批复》（鲁政字〔2012〕110号）、《省委办公厅、省政府办公厅关于从事生产经营活动事业单位转制为企业的意见》（鲁办发〔2014〕31号）、《山东省人民政府办公厅关于印发省属从事生产经营活动事业单位转制为企业工作方案的通知》（鲁政办发〔2015〕30号）、《省委办公厅、省政府办公厅印发关于贯彻厅字〔2016〕38号加快推进从事生产经营活动事业单位改革的通知》（鲁厅字〔2017〕27号）文件规定实施转企改制的省属事业单位及其工作人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本意见按照职能由各相关部门负责解释。</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意见自2019年3月1日起执行，有效期至2024年2月29日。省人力资源社会保障厅、省财政厅印发的《关于省属事业单位转制为企业有关问题的处理意见》（鲁人社发〔2015〕56号）和《关于省属事业单位转制为非国有企业有关问题的处理意见》（鲁人社发〔2016〕28号）同时废止。</w:t>
      </w:r>
    </w:p>
    <w:p>
      <w:pPr>
        <w:spacing w:line="400" w:lineRule="exact"/>
        <w:ind w:firstLine="520" w:firstLineChars="200"/>
        <w:jc w:val="left"/>
        <w:rPr>
          <w:rFonts w:ascii="方正仿宋简体" w:hAnsi="方正仿宋简体" w:eastAsia="方正仿宋简体" w:cs="方正仿宋简体"/>
          <w:sz w:val="26"/>
          <w:szCs w:val="26"/>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p>
    <w:p>
      <w:pPr>
        <w:spacing w:line="570" w:lineRule="exact"/>
        <w:jc w:val="center"/>
        <w:rPr>
          <w:rFonts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山东省教育厅</w:t>
      </w:r>
    </w:p>
    <w:p>
      <w:pPr>
        <w:spacing w:line="570" w:lineRule="exact"/>
        <w:jc w:val="center"/>
        <w:rPr>
          <w:rFonts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关于推进高等学校所属企业体制改革的通知</w:t>
      </w:r>
    </w:p>
    <w:p>
      <w:pPr>
        <w:ind w:left="1451" w:right="1553"/>
        <w:jc w:val="center"/>
        <w:rPr>
          <w:rFonts w:ascii="宋体" w:eastAsia="宋体"/>
          <w:sz w:val="28"/>
        </w:rPr>
      </w:pPr>
      <w:r>
        <w:rPr>
          <w:rFonts w:hint="eastAsia" w:ascii="宋体" w:eastAsia="宋体"/>
          <w:sz w:val="28"/>
        </w:rPr>
        <w:t>鲁教财函〔</w:t>
      </w:r>
      <w:r>
        <w:rPr>
          <w:rFonts w:ascii="Times New Roman" w:eastAsia="Times New Roman"/>
          <w:sz w:val="28"/>
        </w:rPr>
        <w:t>2019</w:t>
      </w:r>
      <w:r>
        <w:rPr>
          <w:rFonts w:hint="eastAsia" w:ascii="宋体" w:eastAsia="宋体"/>
          <w:sz w:val="28"/>
        </w:rPr>
        <w:t>〕</w:t>
      </w:r>
      <w:r>
        <w:rPr>
          <w:rFonts w:ascii="Times New Roman" w:eastAsia="Times New Roman"/>
          <w:sz w:val="28"/>
        </w:rPr>
        <w:t>32</w:t>
      </w:r>
      <w:r>
        <w:rPr>
          <w:rFonts w:ascii="Times New Roman" w:eastAsia="Times New Roman"/>
          <w:spacing w:val="68"/>
          <w:sz w:val="28"/>
        </w:rPr>
        <w:t xml:space="preserve"> </w:t>
      </w:r>
      <w:r>
        <w:rPr>
          <w:rFonts w:hint="eastAsia" w:ascii="宋体" w:eastAsia="宋体"/>
          <w:sz w:val="28"/>
        </w:rPr>
        <w:t>号</w:t>
      </w:r>
    </w:p>
    <w:p>
      <w:pPr>
        <w:pStyle w:val="6"/>
        <w:rPr>
          <w:rFonts w:ascii="宋体"/>
          <w:sz w:val="34"/>
        </w:rPr>
      </w:pPr>
    </w:p>
    <w:p>
      <w:pPr>
        <w:spacing w:line="400" w:lineRule="exact"/>
        <w:ind w:left="118"/>
        <w:rPr>
          <w:bCs/>
          <w:iCs/>
          <w:sz w:val="26"/>
          <w:szCs w:val="26"/>
        </w:rPr>
      </w:pPr>
      <w:r>
        <w:rPr>
          <w:rFonts w:hint="eastAsia"/>
          <w:bCs/>
          <w:iCs/>
          <w:sz w:val="26"/>
          <w:szCs w:val="26"/>
        </w:rPr>
        <w:t>各高等学校：</w:t>
      </w:r>
    </w:p>
    <w:p>
      <w:pPr>
        <w:spacing w:line="400" w:lineRule="exact"/>
        <w:ind w:left="118" w:right="101" w:firstLine="480"/>
        <w:rPr>
          <w:bCs/>
          <w:iCs/>
          <w:sz w:val="26"/>
          <w:szCs w:val="26"/>
        </w:rPr>
      </w:pPr>
      <w:r>
        <w:rPr>
          <w:rFonts w:hint="eastAsia"/>
          <w:bCs/>
          <w:iCs/>
          <w:sz w:val="26"/>
          <w:szCs w:val="26"/>
        </w:rPr>
        <w:t>根据《国务院办公厅关于高等学校所属企业体制改革的指导意见》（国办发〔2018〕42 号）和省领导要求，为推进我省高等学校（以下简称高校）所属企业体制改革工作， 现将有关事项通知如下：</w:t>
      </w:r>
    </w:p>
    <w:p>
      <w:pPr>
        <w:spacing w:line="400" w:lineRule="exact"/>
        <w:ind w:left="118" w:right="101" w:firstLine="480"/>
        <w:rPr>
          <w:rFonts w:ascii="黑体" w:hAnsi="黑体" w:eastAsia="黑体" w:cs="黑体"/>
          <w:bCs/>
          <w:iCs/>
          <w:sz w:val="26"/>
          <w:szCs w:val="26"/>
        </w:rPr>
      </w:pPr>
      <w:r>
        <w:rPr>
          <w:rFonts w:hint="eastAsia" w:ascii="黑体" w:hAnsi="黑体" w:eastAsia="黑体" w:cs="黑体"/>
          <w:bCs/>
          <w:iCs/>
          <w:sz w:val="26"/>
          <w:szCs w:val="26"/>
        </w:rPr>
        <w:t>一、改革范围</w:t>
      </w:r>
    </w:p>
    <w:p>
      <w:pPr>
        <w:spacing w:line="400" w:lineRule="exact"/>
        <w:ind w:left="118" w:right="101" w:firstLine="480"/>
        <w:rPr>
          <w:bCs/>
          <w:iCs/>
          <w:sz w:val="26"/>
          <w:szCs w:val="26"/>
        </w:rPr>
      </w:pPr>
      <w:r>
        <w:rPr>
          <w:rFonts w:hint="eastAsia"/>
          <w:bCs/>
          <w:iCs/>
          <w:sz w:val="26"/>
          <w:szCs w:val="26"/>
        </w:rPr>
        <w:t>我省地方公办普通高校投资设立的国有独资企业、国有独资公司、国有资本控股公司和国有资本参股公司及所属各级企业。</w:t>
      </w:r>
    </w:p>
    <w:p>
      <w:pPr>
        <w:spacing w:line="400" w:lineRule="exact"/>
        <w:ind w:left="118" w:right="101" w:firstLine="480"/>
        <w:rPr>
          <w:rFonts w:ascii="黑体" w:hAnsi="黑体" w:eastAsia="黑体" w:cs="黑体"/>
          <w:bCs/>
          <w:iCs/>
          <w:sz w:val="26"/>
          <w:szCs w:val="26"/>
        </w:rPr>
      </w:pPr>
      <w:r>
        <w:rPr>
          <w:rFonts w:hint="eastAsia" w:ascii="黑体" w:hAnsi="黑体" w:eastAsia="黑体" w:cs="黑体"/>
          <w:bCs/>
          <w:iCs/>
          <w:sz w:val="26"/>
          <w:szCs w:val="26"/>
        </w:rPr>
        <w:t>二、改革方式</w:t>
      </w:r>
    </w:p>
    <w:p>
      <w:pPr>
        <w:spacing w:line="400" w:lineRule="exact"/>
        <w:ind w:left="118" w:right="101" w:firstLine="480"/>
        <w:rPr>
          <w:bCs/>
          <w:iCs/>
          <w:sz w:val="26"/>
          <w:szCs w:val="26"/>
        </w:rPr>
      </w:pPr>
      <w:r>
        <w:rPr>
          <w:rFonts w:hint="eastAsia"/>
          <w:bCs/>
          <w:iCs/>
          <w:sz w:val="26"/>
          <w:szCs w:val="26"/>
        </w:rPr>
        <w:t>高校应对所属企业进行全面清理，理清产权和责任关系，根据不同情况，采取不同方式，分类实施改革。</w:t>
      </w:r>
    </w:p>
    <w:p>
      <w:pPr>
        <w:spacing w:line="400" w:lineRule="exact"/>
        <w:ind w:left="118" w:right="101" w:firstLine="480"/>
        <w:rPr>
          <w:bCs/>
          <w:iCs/>
          <w:sz w:val="26"/>
          <w:szCs w:val="26"/>
        </w:rPr>
      </w:pPr>
      <w:r>
        <w:rPr>
          <w:rFonts w:hint="eastAsia"/>
          <w:bCs/>
          <w:iCs/>
          <w:sz w:val="26"/>
          <w:szCs w:val="26"/>
        </w:rPr>
        <w:t>（一）清理关闭。对“僵尸企业”、空壳企业和长期亏损、扭亏无望、不具备持续经营条件的企业，通过注销、撤销、破产等方式依法依规清理关闭。</w:t>
      </w:r>
    </w:p>
    <w:p>
      <w:pPr>
        <w:spacing w:line="400" w:lineRule="exact"/>
        <w:ind w:left="118" w:right="101" w:firstLine="480"/>
        <w:rPr>
          <w:bCs/>
          <w:iCs/>
          <w:sz w:val="26"/>
          <w:szCs w:val="26"/>
        </w:rPr>
      </w:pPr>
      <w:r>
        <w:rPr>
          <w:rFonts w:hint="eastAsia"/>
          <w:bCs/>
          <w:iCs/>
          <w:sz w:val="26"/>
          <w:szCs w:val="26"/>
        </w:rPr>
        <w:t>（二）脱钩剥离。对与高校教学科研无关的企业，可整体划转至省属企业（包括省级国有资本投资、运营公司），由高校与接收单位协商签订划转协议，明确各方责权关系。也可依法依规采取公开转让等其他方式脱钩。</w:t>
      </w:r>
    </w:p>
    <w:p>
      <w:pPr>
        <w:spacing w:line="400" w:lineRule="exact"/>
        <w:ind w:left="118" w:right="101" w:firstLine="480"/>
        <w:rPr>
          <w:bCs/>
          <w:iCs/>
          <w:sz w:val="26"/>
          <w:szCs w:val="26"/>
        </w:rPr>
      </w:pPr>
      <w:r>
        <w:rPr>
          <w:rFonts w:hint="eastAsia"/>
          <w:bCs/>
          <w:iCs/>
          <w:sz w:val="26"/>
          <w:szCs w:val="26"/>
        </w:rPr>
        <w:t>（三）保留管理。对与高校教学科研相关的实验测试中心、技术转移中心、国家工程中心、出版社、科技园（产业园）、设计院（规划院）和具有企业法人资格的实训基地、林场农场、后勤服务单位等企业，经批准后可以保留。保留企业划转至高校资产经营公司统一管理。不宜纳入企业管理的各类资产一律交由高校统一管理。高校以科技成果作价入股新产生的股权，按照国有资产管理程序，由高校资产经营公司持有管理。</w:t>
      </w:r>
    </w:p>
    <w:p>
      <w:pPr>
        <w:spacing w:line="400" w:lineRule="exact"/>
        <w:ind w:left="118" w:right="101" w:firstLine="480"/>
        <w:rPr>
          <w:bCs/>
          <w:iCs/>
          <w:sz w:val="26"/>
          <w:szCs w:val="26"/>
        </w:rPr>
      </w:pPr>
      <w:r>
        <w:rPr>
          <w:rFonts w:hint="eastAsia"/>
          <w:bCs/>
          <w:iCs/>
          <w:sz w:val="26"/>
          <w:szCs w:val="26"/>
        </w:rPr>
        <w:t>（四）集中监管。除资产经营公司外，高校原则上不再新办企业。改革过程中没有资产经营公司但有保留管理企业或有科技成果转化作价入股产生股权的高校，经批准可成立资产经营公司或将现有企业之一改为资产经营公司。高校资产经营公司及保留企业纳入经营性国有资产集中统一监管体系，由国有资产监管机构负责统一监管。</w:t>
      </w:r>
    </w:p>
    <w:p>
      <w:pPr>
        <w:spacing w:line="400" w:lineRule="exact"/>
        <w:ind w:left="118" w:right="101" w:firstLine="480"/>
        <w:rPr>
          <w:rFonts w:ascii="黑体" w:hAnsi="黑体" w:eastAsia="黑体" w:cs="黑体"/>
          <w:bCs/>
          <w:iCs/>
          <w:sz w:val="26"/>
          <w:szCs w:val="26"/>
        </w:rPr>
      </w:pPr>
      <w:r>
        <w:rPr>
          <w:rFonts w:hint="eastAsia" w:ascii="黑体" w:hAnsi="黑体" w:eastAsia="黑体" w:cs="黑体"/>
          <w:bCs/>
          <w:iCs/>
          <w:sz w:val="26"/>
          <w:szCs w:val="26"/>
        </w:rPr>
        <w:t>三、时间安排</w:t>
      </w:r>
    </w:p>
    <w:p>
      <w:pPr>
        <w:spacing w:line="400" w:lineRule="exact"/>
        <w:ind w:left="118" w:right="101" w:firstLine="480"/>
        <w:rPr>
          <w:bCs/>
          <w:iCs/>
          <w:sz w:val="26"/>
          <w:szCs w:val="26"/>
        </w:rPr>
      </w:pPr>
      <w:r>
        <w:rPr>
          <w:rFonts w:hint="eastAsia"/>
          <w:bCs/>
          <w:iCs/>
          <w:sz w:val="26"/>
          <w:szCs w:val="26"/>
        </w:rPr>
        <w:t>2019 年 11 月底前，高校要按照要求，委托具备资质的中介机 构，对所属企业产权关系、资产状况、债权债务、人员情况、长 期遗留难以解决的问题等进行全面清查清理（参考格式见附件 1）。</w:t>
      </w:r>
    </w:p>
    <w:p>
      <w:pPr>
        <w:spacing w:line="400" w:lineRule="exact"/>
        <w:ind w:left="118" w:right="101" w:firstLine="480"/>
        <w:rPr>
          <w:bCs/>
          <w:iCs/>
          <w:sz w:val="26"/>
          <w:szCs w:val="26"/>
        </w:rPr>
      </w:pPr>
      <w:r>
        <w:rPr>
          <w:rFonts w:hint="eastAsia"/>
          <w:bCs/>
          <w:iCs/>
          <w:sz w:val="26"/>
          <w:szCs w:val="26"/>
        </w:rPr>
        <w:t>2019 年 12 月底前，高校根据清查清理情况，结合实际科学制定所属企业改革</w:t>
      </w:r>
    </w:p>
    <w:p>
      <w:pPr>
        <w:spacing w:line="400" w:lineRule="exact"/>
        <w:ind w:left="118" w:right="101" w:firstLine="480"/>
        <w:rPr>
          <w:bCs/>
          <w:iCs/>
          <w:sz w:val="26"/>
          <w:szCs w:val="26"/>
        </w:rPr>
      </w:pPr>
      <w:r>
        <w:rPr>
          <w:rFonts w:hint="eastAsia"/>
          <w:bCs/>
          <w:iCs/>
          <w:sz w:val="26"/>
          <w:szCs w:val="26"/>
        </w:rPr>
        <w:t>工作方案。方案包括工作机构、改革方式、路径、时间节点、保障措施、历史遗留问题解决方案等（参考格式见附件 2）。2020年1月 10 日前，高校将改革方案（附校长办公会或党委会会议纪要）上报省教育厅，待省教育厅上报省政府同意后实施改革。</w:t>
      </w:r>
    </w:p>
    <w:p>
      <w:pPr>
        <w:spacing w:line="400" w:lineRule="exact"/>
        <w:ind w:left="118" w:right="101" w:firstLine="480"/>
        <w:rPr>
          <w:rFonts w:ascii="黑体" w:hAnsi="黑体" w:eastAsia="黑体" w:cs="黑体"/>
          <w:bCs/>
          <w:iCs/>
          <w:sz w:val="26"/>
          <w:szCs w:val="26"/>
        </w:rPr>
      </w:pPr>
      <w:r>
        <w:rPr>
          <w:rFonts w:hint="eastAsia" w:ascii="黑体" w:hAnsi="黑体" w:eastAsia="黑体" w:cs="黑体"/>
          <w:bCs/>
          <w:iCs/>
          <w:sz w:val="26"/>
          <w:szCs w:val="26"/>
        </w:rPr>
        <w:t>四、其他事项</w:t>
      </w:r>
    </w:p>
    <w:p>
      <w:pPr>
        <w:spacing w:line="400" w:lineRule="exact"/>
        <w:ind w:left="118" w:right="101" w:firstLine="480"/>
        <w:rPr>
          <w:bCs/>
          <w:iCs/>
          <w:sz w:val="26"/>
          <w:szCs w:val="26"/>
        </w:rPr>
      </w:pPr>
      <w:r>
        <w:rPr>
          <w:rFonts w:hint="eastAsia"/>
          <w:bCs/>
          <w:iCs/>
          <w:sz w:val="26"/>
          <w:szCs w:val="26"/>
        </w:rPr>
        <w:t>请各高校于 10 月 30 日前将学校负责人、部门负责人、日常联系人及联系方式发送</w:t>
      </w:r>
      <w:r>
        <w:fldChar w:fldCharType="begin"/>
      </w:r>
      <w:r>
        <w:instrText xml:space="preserve"> HYPERLINK "mailto:wct@shandong.cn" \h </w:instrText>
      </w:r>
      <w:r>
        <w:fldChar w:fldCharType="separate"/>
      </w:r>
      <w:r>
        <w:rPr>
          <w:rFonts w:hint="eastAsia"/>
          <w:bCs/>
          <w:iCs/>
          <w:sz w:val="26"/>
          <w:szCs w:val="26"/>
        </w:rPr>
        <w:t>电子邮件至 wct@shandong.cn，没有所属企业的高校报送学校无所属企业自查报告。</w:t>
      </w:r>
      <w:r>
        <w:rPr>
          <w:rFonts w:hint="eastAsia"/>
          <w:bCs/>
          <w:iCs/>
          <w:sz w:val="26"/>
          <w:szCs w:val="26"/>
        </w:rPr>
        <w:fldChar w:fldCharType="end"/>
      </w:r>
    </w:p>
    <w:p>
      <w:pPr>
        <w:spacing w:line="400" w:lineRule="exact"/>
        <w:ind w:left="118" w:right="101" w:firstLine="480"/>
        <w:rPr>
          <w:bCs/>
          <w:iCs/>
          <w:sz w:val="26"/>
          <w:szCs w:val="26"/>
        </w:rPr>
      </w:pPr>
      <w:r>
        <w:rPr>
          <w:rFonts w:hint="eastAsia"/>
          <w:bCs/>
          <w:iCs/>
          <w:sz w:val="26"/>
          <w:szCs w:val="26"/>
        </w:rPr>
        <w:t>联系人：王长涛</w:t>
      </w:r>
    </w:p>
    <w:p>
      <w:pPr>
        <w:spacing w:line="400" w:lineRule="exact"/>
        <w:ind w:left="118" w:right="101" w:firstLine="480"/>
        <w:rPr>
          <w:bCs/>
          <w:iCs/>
          <w:sz w:val="26"/>
          <w:szCs w:val="26"/>
        </w:rPr>
      </w:pPr>
      <w:r>
        <w:rPr>
          <w:rFonts w:hint="eastAsia"/>
          <w:bCs/>
          <w:iCs/>
          <w:sz w:val="26"/>
          <w:szCs w:val="26"/>
        </w:rPr>
        <w:t>联系电话：0531—81916696</w:t>
      </w:r>
    </w:p>
    <w:p>
      <w:pPr>
        <w:spacing w:line="400" w:lineRule="exact"/>
        <w:ind w:left="118" w:right="101" w:firstLine="480"/>
        <w:rPr>
          <w:bCs/>
          <w:iCs/>
          <w:sz w:val="26"/>
          <w:szCs w:val="26"/>
        </w:rPr>
      </w:pPr>
      <w:r>
        <w:rPr>
          <w:rFonts w:hint="eastAsia"/>
          <w:bCs/>
          <w:iCs/>
          <w:sz w:val="26"/>
          <w:szCs w:val="26"/>
        </w:rPr>
        <w:t>通讯地址：济南市文化西路 29 号</w:t>
      </w:r>
    </w:p>
    <w:p>
      <w:pPr>
        <w:spacing w:line="400" w:lineRule="exact"/>
        <w:ind w:left="118" w:right="101" w:firstLine="480"/>
        <w:rPr>
          <w:bCs/>
          <w:iCs/>
          <w:sz w:val="26"/>
          <w:szCs w:val="26"/>
        </w:rPr>
      </w:pPr>
      <w:r>
        <w:rPr>
          <w:rFonts w:hint="eastAsia"/>
          <w:bCs/>
          <w:iCs/>
          <w:sz w:val="26"/>
          <w:szCs w:val="26"/>
        </w:rPr>
        <w:t>附件：</w:t>
      </w:r>
    </w:p>
    <w:p>
      <w:pPr>
        <w:spacing w:line="400" w:lineRule="exact"/>
        <w:ind w:left="118" w:right="101" w:firstLine="480"/>
        <w:rPr>
          <w:bCs/>
          <w:iCs/>
          <w:sz w:val="26"/>
          <w:szCs w:val="26"/>
        </w:rPr>
      </w:pPr>
      <w:r>
        <w:rPr>
          <w:rFonts w:hint="eastAsia"/>
          <w:bCs/>
          <w:iCs/>
          <w:sz w:val="26"/>
          <w:szCs w:val="26"/>
        </w:rPr>
        <w:t>1.XX 高校所属企业全面摸底工作报告</w:t>
      </w:r>
    </w:p>
    <w:p>
      <w:pPr>
        <w:spacing w:line="400" w:lineRule="exact"/>
        <w:ind w:left="118" w:right="101" w:firstLine="480"/>
        <w:rPr>
          <w:bCs/>
          <w:iCs/>
          <w:sz w:val="26"/>
          <w:szCs w:val="26"/>
        </w:rPr>
      </w:pPr>
      <w:r>
        <w:rPr>
          <w:rFonts w:hint="eastAsia"/>
          <w:bCs/>
          <w:iCs/>
          <w:sz w:val="26"/>
          <w:szCs w:val="26"/>
        </w:rPr>
        <w:t>2.XX高校所属企业体制改革方案</w:t>
      </w:r>
    </w:p>
    <w:p>
      <w:pPr>
        <w:spacing w:line="400" w:lineRule="exact"/>
        <w:ind w:left="118" w:right="101" w:firstLine="480"/>
        <w:rPr>
          <w:bCs/>
          <w:iCs/>
          <w:sz w:val="26"/>
          <w:szCs w:val="26"/>
        </w:rPr>
      </w:pPr>
      <w:r>
        <w:rPr>
          <w:rFonts w:hint="eastAsia"/>
          <w:bCs/>
          <w:iCs/>
          <w:sz w:val="26"/>
          <w:szCs w:val="26"/>
        </w:rPr>
        <w:t>3.高校所属企业改革工作联络人登记表</w:t>
      </w:r>
    </w:p>
    <w:p>
      <w:pPr>
        <w:spacing w:line="400" w:lineRule="exact"/>
        <w:ind w:left="118" w:right="101" w:firstLine="480"/>
        <w:rPr>
          <w:bCs/>
          <w:iCs/>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ind w:right="280"/>
        <w:jc w:val="right"/>
        <w:rPr>
          <w:rFonts w:ascii="宋体"/>
          <w:sz w:val="26"/>
          <w:szCs w:val="26"/>
        </w:rPr>
      </w:pPr>
      <w:r>
        <w:rPr>
          <w:rFonts w:ascii="宋体"/>
          <w:sz w:val="26"/>
          <w:szCs w:val="26"/>
        </w:rPr>
        <w:t>山东省教育厅</w:t>
      </w:r>
    </w:p>
    <w:p>
      <w:pPr>
        <w:pStyle w:val="6"/>
        <w:spacing w:line="400" w:lineRule="exact"/>
        <w:jc w:val="right"/>
        <w:rPr>
          <w:rFonts w:ascii="宋体"/>
          <w:sz w:val="26"/>
          <w:szCs w:val="26"/>
        </w:rPr>
      </w:pPr>
      <w:r>
        <w:rPr>
          <w:rFonts w:hint="eastAsia" w:ascii="宋体"/>
          <w:sz w:val="26"/>
          <w:szCs w:val="26"/>
        </w:rPr>
        <w:t>2019年10月14日</w:t>
      </w:r>
    </w:p>
    <w:p>
      <w:pPr>
        <w:spacing w:line="400" w:lineRule="exact"/>
        <w:ind w:right="240"/>
        <w:jc w:val="right"/>
        <w:rPr>
          <w:rFonts w:ascii="宋体" w:hAnsi="宋体"/>
          <w:sz w:val="26"/>
          <w:szCs w:val="26"/>
        </w:rPr>
        <w:sectPr>
          <w:footerReference r:id="rId10" w:type="default"/>
          <w:pgSz w:w="11900" w:h="16838"/>
          <w:pgMar w:top="1417" w:right="1701" w:bottom="1417" w:left="1701" w:header="850" w:footer="850" w:gutter="0"/>
          <w:cols w:space="720" w:num="1"/>
          <w:docGrid w:type="lines" w:linePitch="366" w:charSpace="0"/>
        </w:sectPr>
      </w:pPr>
    </w:p>
    <w:p>
      <w:pPr>
        <w:ind w:left="118"/>
        <w:rPr>
          <w:rFonts w:ascii="黑体" w:eastAsia="黑体"/>
          <w:sz w:val="24"/>
        </w:rPr>
      </w:pPr>
      <w:r>
        <w:rPr>
          <w:rFonts w:hint="eastAsia" w:ascii="黑体" w:eastAsia="黑体"/>
          <w:sz w:val="24"/>
        </w:rPr>
        <w:t>附件 1</w:t>
      </w:r>
    </w:p>
    <w:p>
      <w:pPr>
        <w:pStyle w:val="6"/>
        <w:rPr>
          <w:rFonts w:ascii="黑体"/>
          <w:sz w:val="20"/>
        </w:rPr>
      </w:pPr>
    </w:p>
    <w:p>
      <w:pPr>
        <w:pStyle w:val="6"/>
        <w:rPr>
          <w:rFonts w:ascii="黑体"/>
          <w:sz w:val="19"/>
        </w:rPr>
      </w:pPr>
    </w:p>
    <w:p>
      <w:pPr>
        <w:pStyle w:val="6"/>
        <w:spacing w:line="505" w:lineRule="exact"/>
        <w:ind w:left="1451" w:right="1552"/>
        <w:jc w:val="center"/>
        <w:rPr>
          <w:rFonts w:ascii="方正小标宋简体" w:eastAsia="方正小标宋简体"/>
          <w:sz w:val="32"/>
          <w:szCs w:val="32"/>
        </w:rPr>
      </w:pPr>
      <w:r>
        <w:rPr>
          <w:rFonts w:ascii="Calibri" w:eastAsia="Calibri"/>
          <w:sz w:val="32"/>
          <w:szCs w:val="32"/>
        </w:rPr>
        <w:t xml:space="preserve">XX </w:t>
      </w:r>
      <w:r>
        <w:rPr>
          <w:rFonts w:hint="eastAsia" w:ascii="方正小标宋简体" w:eastAsia="方正小标宋简体"/>
          <w:sz w:val="32"/>
          <w:szCs w:val="32"/>
        </w:rPr>
        <w:t>高校所属企业全面摸底工作报告</w:t>
      </w:r>
    </w:p>
    <w:p>
      <w:pPr>
        <w:pStyle w:val="6"/>
        <w:spacing w:line="505" w:lineRule="exact"/>
        <w:ind w:left="1451" w:right="1552"/>
        <w:jc w:val="center"/>
        <w:rPr>
          <w:rFonts w:ascii="方正小标宋简体" w:eastAsia="方正小标宋简体"/>
          <w:sz w:val="32"/>
          <w:szCs w:val="32"/>
        </w:rPr>
      </w:pPr>
      <w:r>
        <w:rPr>
          <w:rFonts w:hint="eastAsia" w:ascii="方正小标宋简体" w:eastAsia="方正小标宋简体"/>
          <w:sz w:val="32"/>
          <w:szCs w:val="32"/>
        </w:rPr>
        <w:t>（参考提纲）</w:t>
      </w:r>
    </w:p>
    <w:p>
      <w:pPr>
        <w:pStyle w:val="6"/>
        <w:rPr>
          <w:rFonts w:ascii="方正小标宋简体"/>
          <w:sz w:val="20"/>
        </w:rPr>
      </w:pPr>
    </w:p>
    <w:p>
      <w:pPr>
        <w:adjustRightInd w:val="0"/>
        <w:spacing w:line="400" w:lineRule="exact"/>
        <w:ind w:left="598"/>
        <w:rPr>
          <w:rFonts w:ascii="黑体" w:eastAsia="黑体"/>
          <w:sz w:val="26"/>
          <w:szCs w:val="26"/>
        </w:rPr>
      </w:pPr>
      <w:r>
        <w:rPr>
          <w:rFonts w:hint="eastAsia" w:ascii="黑体" w:eastAsia="黑体"/>
          <w:sz w:val="26"/>
          <w:szCs w:val="26"/>
        </w:rPr>
        <w:t>一、工作情况</w:t>
      </w:r>
    </w:p>
    <w:p>
      <w:pPr>
        <w:adjustRightInd w:val="0"/>
        <w:spacing w:line="400" w:lineRule="exact"/>
        <w:ind w:left="118" w:right="183" w:firstLine="480"/>
        <w:rPr>
          <w:sz w:val="26"/>
          <w:szCs w:val="26"/>
        </w:rPr>
      </w:pPr>
      <w:r>
        <w:rPr>
          <w:rFonts w:hint="eastAsia"/>
          <w:sz w:val="26"/>
          <w:szCs w:val="26"/>
        </w:rPr>
        <w:t>包括但不限于：成立改革领导小组、成立资产经营公司、理顺管理体制机制、工作组织等情况。</w:t>
      </w:r>
    </w:p>
    <w:p>
      <w:pPr>
        <w:adjustRightInd w:val="0"/>
        <w:spacing w:line="400" w:lineRule="exact"/>
        <w:ind w:left="598"/>
        <w:rPr>
          <w:rFonts w:ascii="黑体" w:eastAsia="黑体"/>
          <w:sz w:val="26"/>
          <w:szCs w:val="26"/>
        </w:rPr>
      </w:pPr>
      <w:r>
        <w:rPr>
          <w:rFonts w:hint="eastAsia" w:ascii="黑体" w:eastAsia="黑体"/>
          <w:sz w:val="26"/>
          <w:szCs w:val="26"/>
        </w:rPr>
        <w:t>二、摸底结果</w:t>
      </w:r>
    </w:p>
    <w:p>
      <w:pPr>
        <w:adjustRightInd w:val="0"/>
        <w:spacing w:line="400" w:lineRule="exact"/>
        <w:ind w:left="118" w:right="183" w:firstLine="480"/>
        <w:rPr>
          <w:sz w:val="26"/>
          <w:szCs w:val="26"/>
        </w:rPr>
      </w:pPr>
      <w:r>
        <w:rPr>
          <w:rFonts w:hint="eastAsia" w:ascii="楷体" w:hAnsi="楷体" w:eastAsia="楷体"/>
          <w:sz w:val="26"/>
          <w:szCs w:val="26"/>
        </w:rPr>
        <w:t>（一）总体情况。</w:t>
      </w:r>
      <w:r>
        <w:rPr>
          <w:rFonts w:hint="eastAsia"/>
          <w:sz w:val="26"/>
          <w:szCs w:val="26"/>
        </w:rPr>
        <w:t>包括但不限于：企业总户数，企业层级及股权关系情况，企业行业分布，持有上市公司股票情况，所属企业合并资产，负债，净资产，收入，利润等财务数据，企业中事业编制人员情况等。</w:t>
      </w:r>
    </w:p>
    <w:p>
      <w:pPr>
        <w:adjustRightInd w:val="0"/>
        <w:spacing w:line="400" w:lineRule="exact"/>
        <w:ind w:left="118" w:right="183" w:firstLine="480"/>
        <w:rPr>
          <w:rFonts w:ascii="楷体" w:hAnsi="楷体" w:eastAsia="楷体"/>
          <w:sz w:val="26"/>
          <w:szCs w:val="26"/>
        </w:rPr>
      </w:pPr>
      <w:r>
        <w:rPr>
          <w:rFonts w:hint="eastAsia" w:ascii="楷体" w:hAnsi="楷体" w:eastAsia="楷体"/>
          <w:sz w:val="26"/>
          <w:szCs w:val="26"/>
        </w:rPr>
        <w:t>（二）按经营分类</w:t>
      </w:r>
    </w:p>
    <w:p>
      <w:pPr>
        <w:adjustRightInd w:val="0"/>
        <w:spacing w:line="400" w:lineRule="exact"/>
        <w:ind w:left="118" w:right="183" w:firstLine="480"/>
        <w:rPr>
          <w:sz w:val="26"/>
          <w:szCs w:val="26"/>
        </w:rPr>
      </w:pPr>
      <w:r>
        <w:rPr>
          <w:rFonts w:hint="eastAsia"/>
          <w:sz w:val="26"/>
          <w:szCs w:val="26"/>
        </w:rPr>
        <w:t>1.正常经营企业情况。包括但不限于：企业户数，企业产权关系，资产状况，债权债务，员工等情况。</w:t>
      </w:r>
    </w:p>
    <w:p>
      <w:pPr>
        <w:adjustRightInd w:val="0"/>
        <w:spacing w:line="400" w:lineRule="exact"/>
        <w:ind w:left="118" w:right="183" w:firstLine="480"/>
        <w:rPr>
          <w:sz w:val="26"/>
          <w:szCs w:val="26"/>
        </w:rPr>
      </w:pPr>
      <w:r>
        <w:rPr>
          <w:rFonts w:hint="eastAsia"/>
          <w:sz w:val="26"/>
          <w:szCs w:val="26"/>
        </w:rPr>
        <w:t>2.“僵尸”空壳企业情况，问题描述，原因分析等。</w:t>
      </w:r>
    </w:p>
    <w:p>
      <w:pPr>
        <w:adjustRightInd w:val="0"/>
        <w:spacing w:line="400" w:lineRule="exact"/>
        <w:ind w:left="118" w:right="183" w:firstLine="480"/>
        <w:rPr>
          <w:sz w:val="26"/>
          <w:szCs w:val="26"/>
        </w:rPr>
      </w:pPr>
      <w:r>
        <w:rPr>
          <w:rFonts w:hint="eastAsia" w:ascii="楷体" w:hAnsi="楷体" w:eastAsia="楷体"/>
          <w:sz w:val="26"/>
          <w:szCs w:val="26"/>
        </w:rPr>
        <w:t>（三）按与教学科研关联程度分类</w:t>
      </w:r>
      <w:r>
        <w:rPr>
          <w:rFonts w:hint="eastAsia"/>
          <w:sz w:val="26"/>
          <w:szCs w:val="26"/>
        </w:rPr>
        <w:t xml:space="preserve">   </w:t>
      </w:r>
    </w:p>
    <w:p>
      <w:pPr>
        <w:adjustRightInd w:val="0"/>
        <w:spacing w:line="400" w:lineRule="exact"/>
        <w:ind w:left="118" w:right="183" w:firstLine="480"/>
        <w:rPr>
          <w:sz w:val="26"/>
          <w:szCs w:val="26"/>
        </w:rPr>
      </w:pPr>
      <w:r>
        <w:rPr>
          <w:rFonts w:hint="eastAsia"/>
          <w:sz w:val="26"/>
          <w:szCs w:val="26"/>
        </w:rPr>
        <w:t>1.与教学科研无关或关联度不高的企业</w:t>
      </w:r>
    </w:p>
    <w:p>
      <w:pPr>
        <w:adjustRightInd w:val="0"/>
        <w:spacing w:line="400" w:lineRule="exact"/>
        <w:ind w:left="118" w:right="183" w:firstLine="480"/>
        <w:rPr>
          <w:sz w:val="26"/>
          <w:szCs w:val="26"/>
        </w:rPr>
      </w:pPr>
      <w:r>
        <w:rPr>
          <w:rFonts w:hint="eastAsia"/>
          <w:sz w:val="26"/>
          <w:szCs w:val="26"/>
        </w:rPr>
        <w:t>2.与教学科研密切相关的企业</w:t>
      </w:r>
    </w:p>
    <w:p>
      <w:pPr>
        <w:adjustRightInd w:val="0"/>
        <w:spacing w:line="400" w:lineRule="exact"/>
        <w:ind w:left="118" w:right="183" w:firstLine="480"/>
        <w:rPr>
          <w:sz w:val="26"/>
          <w:szCs w:val="26"/>
        </w:rPr>
      </w:pPr>
      <w:r>
        <w:rPr>
          <w:rFonts w:hint="eastAsia" w:ascii="楷体" w:hAnsi="楷体" w:eastAsia="楷体"/>
          <w:sz w:val="26"/>
          <w:szCs w:val="26"/>
        </w:rPr>
        <w:t xml:space="preserve">（四）按投资主体分类 </w:t>
      </w:r>
      <w:r>
        <w:rPr>
          <w:rFonts w:hint="eastAsia"/>
          <w:sz w:val="26"/>
          <w:szCs w:val="26"/>
        </w:rPr>
        <w:t xml:space="preserve">      </w:t>
      </w:r>
    </w:p>
    <w:p>
      <w:pPr>
        <w:adjustRightInd w:val="0"/>
        <w:spacing w:line="400" w:lineRule="exact"/>
        <w:ind w:left="118" w:right="183" w:firstLine="480"/>
        <w:rPr>
          <w:sz w:val="26"/>
          <w:szCs w:val="26"/>
        </w:rPr>
      </w:pPr>
      <w:r>
        <w:rPr>
          <w:rFonts w:hint="eastAsia"/>
          <w:sz w:val="26"/>
          <w:szCs w:val="26"/>
        </w:rPr>
        <w:t>1.高校及所属企业投资企业情况</w:t>
      </w:r>
    </w:p>
    <w:p>
      <w:pPr>
        <w:adjustRightInd w:val="0"/>
        <w:spacing w:line="400" w:lineRule="exact"/>
        <w:ind w:left="118" w:right="183" w:firstLine="480"/>
        <w:rPr>
          <w:sz w:val="26"/>
          <w:szCs w:val="26"/>
        </w:rPr>
      </w:pPr>
      <w:r>
        <w:rPr>
          <w:rFonts w:hint="eastAsia"/>
          <w:sz w:val="26"/>
          <w:szCs w:val="26"/>
        </w:rPr>
        <w:t>2.高校所属各级事业单位投资企业情况</w:t>
      </w:r>
    </w:p>
    <w:p>
      <w:pPr>
        <w:adjustRightInd w:val="0"/>
        <w:spacing w:line="400" w:lineRule="exact"/>
        <w:ind w:left="598"/>
        <w:rPr>
          <w:rFonts w:ascii="黑体" w:eastAsia="黑体"/>
          <w:sz w:val="26"/>
          <w:szCs w:val="26"/>
        </w:rPr>
      </w:pPr>
      <w:r>
        <w:rPr>
          <w:rFonts w:hint="eastAsia" w:ascii="黑体" w:eastAsia="黑体"/>
          <w:sz w:val="26"/>
          <w:szCs w:val="26"/>
        </w:rPr>
        <w:t xml:space="preserve">三、存在问题 </w:t>
      </w:r>
    </w:p>
    <w:p>
      <w:pPr>
        <w:adjustRightInd w:val="0"/>
        <w:spacing w:line="400" w:lineRule="exact"/>
        <w:ind w:left="598"/>
        <w:rPr>
          <w:rFonts w:ascii="黑体" w:eastAsia="黑体"/>
          <w:sz w:val="26"/>
          <w:szCs w:val="26"/>
        </w:rPr>
      </w:pPr>
      <w:r>
        <w:rPr>
          <w:rFonts w:hint="eastAsia" w:ascii="黑体" w:eastAsia="黑体"/>
          <w:sz w:val="26"/>
          <w:szCs w:val="26"/>
        </w:rPr>
        <w:t>四、改革思路</w:t>
      </w:r>
    </w:p>
    <w:p>
      <w:pPr>
        <w:pStyle w:val="6"/>
        <w:spacing w:line="400" w:lineRule="exact"/>
        <w:rPr>
          <w:rFonts w:ascii="黑体"/>
          <w:sz w:val="26"/>
          <w:szCs w:val="26"/>
        </w:rPr>
      </w:pPr>
    </w:p>
    <w:p>
      <w:pPr>
        <w:spacing w:line="400" w:lineRule="exact"/>
        <w:ind w:left="118"/>
        <w:rPr>
          <w:rFonts w:ascii="黑体" w:eastAsia="黑体"/>
          <w:sz w:val="24"/>
        </w:rPr>
      </w:pPr>
      <w:r>
        <w:rPr>
          <w:rFonts w:ascii="黑体" w:eastAsia="黑体"/>
          <w:sz w:val="26"/>
          <w:szCs w:val="26"/>
        </w:rPr>
        <w:br w:type="page"/>
      </w:r>
      <w:r>
        <w:rPr>
          <w:rFonts w:hint="eastAsia" w:ascii="黑体" w:eastAsia="黑体"/>
          <w:sz w:val="24"/>
        </w:rPr>
        <w:t>附件 2</w:t>
      </w:r>
    </w:p>
    <w:p>
      <w:pPr>
        <w:pStyle w:val="6"/>
        <w:rPr>
          <w:rFonts w:ascii="黑体"/>
          <w:sz w:val="20"/>
        </w:rPr>
      </w:pPr>
    </w:p>
    <w:p>
      <w:pPr>
        <w:pStyle w:val="6"/>
        <w:rPr>
          <w:rFonts w:ascii="黑体"/>
          <w:sz w:val="19"/>
        </w:rPr>
      </w:pPr>
    </w:p>
    <w:p>
      <w:pPr>
        <w:pStyle w:val="6"/>
        <w:spacing w:line="505" w:lineRule="exact"/>
        <w:ind w:left="1451" w:right="1552"/>
        <w:jc w:val="center"/>
        <w:rPr>
          <w:rFonts w:ascii="方正小标宋简体" w:eastAsia="方正小标宋简体"/>
          <w:sz w:val="32"/>
          <w:szCs w:val="32"/>
        </w:rPr>
      </w:pPr>
      <w:r>
        <w:rPr>
          <w:rFonts w:ascii="Calibri" w:eastAsia="Calibri"/>
          <w:sz w:val="32"/>
          <w:szCs w:val="32"/>
        </w:rPr>
        <w:t xml:space="preserve">XX </w:t>
      </w:r>
      <w:r>
        <w:rPr>
          <w:rFonts w:hint="eastAsia" w:ascii="方正小标宋简体" w:eastAsia="方正小标宋简体"/>
          <w:sz w:val="32"/>
          <w:szCs w:val="32"/>
        </w:rPr>
        <w:t>高校所属企业体制改革方案</w:t>
      </w:r>
    </w:p>
    <w:p>
      <w:pPr>
        <w:pStyle w:val="6"/>
        <w:spacing w:line="505" w:lineRule="exact"/>
        <w:ind w:left="1451" w:right="1552"/>
        <w:jc w:val="center"/>
        <w:rPr>
          <w:rFonts w:ascii="方正小标宋简体" w:eastAsia="方正小标宋简体"/>
          <w:sz w:val="32"/>
          <w:szCs w:val="32"/>
        </w:rPr>
      </w:pPr>
      <w:r>
        <w:rPr>
          <w:rFonts w:hint="eastAsia" w:ascii="方正小标宋简体" w:eastAsia="方正小标宋简体"/>
          <w:sz w:val="32"/>
          <w:szCs w:val="32"/>
        </w:rPr>
        <w:t>（参考提纲）</w:t>
      </w:r>
    </w:p>
    <w:p>
      <w:pPr>
        <w:spacing w:line="400" w:lineRule="exact"/>
        <w:ind w:left="118" w:right="217" w:firstLine="480"/>
        <w:rPr>
          <w:rFonts w:ascii="黑体" w:eastAsia="黑体"/>
          <w:sz w:val="26"/>
          <w:szCs w:val="26"/>
        </w:rPr>
      </w:pPr>
      <w:r>
        <w:rPr>
          <w:rFonts w:hint="eastAsia" w:ascii="黑体" w:eastAsia="黑体"/>
          <w:sz w:val="26"/>
          <w:szCs w:val="26"/>
        </w:rPr>
        <w:t>一、所属企业基本情况</w:t>
      </w:r>
    </w:p>
    <w:p>
      <w:pPr>
        <w:spacing w:line="400" w:lineRule="exact"/>
        <w:ind w:left="118" w:right="217" w:firstLine="480"/>
        <w:rPr>
          <w:rFonts w:ascii="黑体" w:eastAsia="黑体"/>
          <w:sz w:val="26"/>
          <w:szCs w:val="26"/>
        </w:rPr>
      </w:pPr>
      <w:r>
        <w:rPr>
          <w:rFonts w:hint="eastAsia" w:ascii="黑体" w:eastAsia="黑体"/>
          <w:sz w:val="26"/>
          <w:szCs w:val="26"/>
        </w:rPr>
        <w:t>二、改革目标</w:t>
      </w:r>
    </w:p>
    <w:p>
      <w:pPr>
        <w:spacing w:line="400" w:lineRule="exact"/>
        <w:ind w:left="118" w:right="217" w:firstLine="480"/>
        <w:rPr>
          <w:rFonts w:ascii="黑体" w:eastAsia="黑体"/>
          <w:sz w:val="26"/>
          <w:szCs w:val="26"/>
        </w:rPr>
      </w:pPr>
      <w:r>
        <w:rPr>
          <w:rFonts w:hint="eastAsia" w:ascii="黑体" w:eastAsia="黑体"/>
          <w:sz w:val="26"/>
          <w:szCs w:val="26"/>
        </w:rPr>
        <w:t xml:space="preserve">三、实施方案 </w:t>
      </w:r>
    </w:p>
    <w:p>
      <w:pPr>
        <w:adjustRightInd w:val="0"/>
        <w:spacing w:line="400" w:lineRule="exact"/>
        <w:ind w:left="118" w:right="183" w:firstLine="480"/>
        <w:rPr>
          <w:sz w:val="26"/>
          <w:szCs w:val="26"/>
        </w:rPr>
      </w:pPr>
      <w:r>
        <w:rPr>
          <w:rFonts w:hint="eastAsia"/>
          <w:sz w:val="26"/>
          <w:szCs w:val="26"/>
        </w:rPr>
        <w:t>包括但不限于：工作计划、完成时间表、审计和资产评估机构选聘委托情况及工作结果报批报备情况等</w:t>
      </w:r>
    </w:p>
    <w:p>
      <w:pPr>
        <w:adjustRightInd w:val="0"/>
        <w:spacing w:line="400" w:lineRule="exact"/>
        <w:ind w:left="118" w:right="183" w:firstLine="480"/>
        <w:rPr>
          <w:sz w:val="26"/>
          <w:szCs w:val="26"/>
        </w:rPr>
      </w:pPr>
      <w:r>
        <w:rPr>
          <w:rFonts w:hint="eastAsia"/>
          <w:sz w:val="26"/>
          <w:szCs w:val="26"/>
        </w:rPr>
        <w:t>（一）清理关闭</w:t>
      </w:r>
    </w:p>
    <w:p>
      <w:pPr>
        <w:adjustRightInd w:val="0"/>
        <w:spacing w:line="400" w:lineRule="exact"/>
        <w:ind w:left="118" w:right="183" w:firstLine="480"/>
        <w:rPr>
          <w:sz w:val="26"/>
          <w:szCs w:val="26"/>
        </w:rPr>
      </w:pPr>
      <w:r>
        <w:rPr>
          <w:rFonts w:hint="eastAsia"/>
          <w:sz w:val="26"/>
          <w:szCs w:val="26"/>
        </w:rPr>
        <w:t>（二）脱钩剥离</w:t>
      </w:r>
    </w:p>
    <w:p>
      <w:pPr>
        <w:adjustRightInd w:val="0"/>
        <w:spacing w:line="400" w:lineRule="exact"/>
        <w:ind w:left="118" w:right="183" w:firstLine="480"/>
        <w:rPr>
          <w:sz w:val="26"/>
          <w:szCs w:val="26"/>
        </w:rPr>
      </w:pPr>
      <w:r>
        <w:rPr>
          <w:rFonts w:hint="eastAsia"/>
          <w:sz w:val="26"/>
          <w:szCs w:val="26"/>
        </w:rPr>
        <w:t>（三）保留管理</w:t>
      </w:r>
    </w:p>
    <w:p>
      <w:pPr>
        <w:adjustRightInd w:val="0"/>
        <w:spacing w:line="400" w:lineRule="exact"/>
        <w:ind w:left="118" w:right="183" w:firstLine="480"/>
        <w:rPr>
          <w:sz w:val="26"/>
          <w:szCs w:val="26"/>
        </w:rPr>
      </w:pPr>
      <w:r>
        <w:rPr>
          <w:rFonts w:hint="eastAsia"/>
          <w:sz w:val="26"/>
          <w:szCs w:val="26"/>
        </w:rPr>
        <w:t>（四）集中监管</w:t>
      </w:r>
    </w:p>
    <w:p>
      <w:pPr>
        <w:spacing w:line="400" w:lineRule="exact"/>
        <w:ind w:left="118" w:right="217" w:firstLine="480"/>
        <w:rPr>
          <w:rFonts w:ascii="黑体" w:eastAsia="黑体"/>
          <w:sz w:val="26"/>
          <w:szCs w:val="26"/>
        </w:rPr>
      </w:pPr>
      <w:r>
        <w:rPr>
          <w:rFonts w:hint="eastAsia" w:ascii="黑体" w:eastAsia="黑体"/>
          <w:sz w:val="26"/>
          <w:szCs w:val="26"/>
        </w:rPr>
        <w:t xml:space="preserve">四、工作组织 </w:t>
      </w:r>
    </w:p>
    <w:p>
      <w:pPr>
        <w:adjustRightInd w:val="0"/>
        <w:spacing w:line="400" w:lineRule="exact"/>
        <w:ind w:left="118" w:right="183" w:firstLine="480"/>
        <w:rPr>
          <w:sz w:val="26"/>
          <w:szCs w:val="26"/>
        </w:rPr>
      </w:pPr>
      <w:r>
        <w:rPr>
          <w:rFonts w:hint="eastAsia"/>
          <w:sz w:val="26"/>
          <w:szCs w:val="26"/>
        </w:rPr>
        <w:t>包括但不限于：改革工作组织领导工作机构设置及分工情况，工作责任人及保障措施等。</w:t>
      </w:r>
    </w:p>
    <w:p>
      <w:pPr>
        <w:spacing w:line="400" w:lineRule="exact"/>
        <w:ind w:left="118" w:right="217" w:firstLine="480"/>
        <w:rPr>
          <w:rFonts w:ascii="黑体" w:eastAsia="黑体"/>
          <w:sz w:val="26"/>
          <w:szCs w:val="26"/>
        </w:rPr>
      </w:pPr>
      <w:r>
        <w:rPr>
          <w:rFonts w:hint="eastAsia" w:ascii="黑体" w:eastAsia="黑体"/>
          <w:sz w:val="26"/>
          <w:szCs w:val="26"/>
        </w:rPr>
        <w:t>五、风险</w:t>
      </w:r>
    </w:p>
    <w:p>
      <w:pPr>
        <w:adjustRightInd w:val="0"/>
        <w:spacing w:line="400" w:lineRule="exact"/>
        <w:ind w:left="118" w:right="183" w:firstLine="480"/>
        <w:rPr>
          <w:sz w:val="26"/>
          <w:szCs w:val="26"/>
        </w:rPr>
      </w:pPr>
      <w:r>
        <w:rPr>
          <w:rFonts w:hint="eastAsia"/>
          <w:sz w:val="26"/>
          <w:szCs w:val="26"/>
        </w:rPr>
        <w:t>预案、预期效果</w:t>
      </w: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spacing w:line="400" w:lineRule="exact"/>
        <w:rPr>
          <w:rFonts w:ascii="宋体"/>
          <w:sz w:val="26"/>
          <w:szCs w:val="26"/>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ind w:left="118"/>
        <w:rPr>
          <w:rFonts w:ascii="黑体" w:eastAsia="黑体"/>
          <w:sz w:val="24"/>
        </w:rPr>
      </w:pPr>
      <w:r>
        <w:rPr>
          <w:rFonts w:hint="eastAsia" w:ascii="黑体" w:eastAsia="黑体"/>
          <w:sz w:val="24"/>
        </w:rPr>
        <w:t>附件 3</w:t>
      </w:r>
    </w:p>
    <w:p>
      <w:pPr>
        <w:pStyle w:val="6"/>
        <w:rPr>
          <w:rFonts w:ascii="黑体"/>
          <w:sz w:val="20"/>
        </w:rPr>
      </w:pPr>
    </w:p>
    <w:p>
      <w:pPr>
        <w:pStyle w:val="6"/>
        <w:rPr>
          <w:rFonts w:ascii="黑体"/>
          <w:sz w:val="19"/>
        </w:rPr>
      </w:pPr>
    </w:p>
    <w:p>
      <w:pPr>
        <w:pStyle w:val="6"/>
        <w:ind w:left="1451" w:right="1565"/>
        <w:jc w:val="center"/>
        <w:rPr>
          <w:rFonts w:ascii="方正小标宋简体" w:eastAsia="方正小标宋简体"/>
        </w:rPr>
      </w:pPr>
      <w:r>
        <w:rPr>
          <w:rFonts w:hint="eastAsia" w:ascii="方正小标宋简体" w:eastAsia="方正小标宋简体"/>
        </w:rPr>
        <w:t>高校所属企业改革工作联络人登记表</w:t>
      </w:r>
    </w:p>
    <w:p>
      <w:pPr>
        <w:pStyle w:val="6"/>
        <w:rPr>
          <w:rFonts w:ascii="方正小标宋简体"/>
          <w:sz w:val="10"/>
        </w:rPr>
      </w:pPr>
    </w:p>
    <w:tbl>
      <w:tblPr>
        <w:tblStyle w:val="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1623"/>
        <w:gridCol w:w="1172"/>
        <w:gridCol w:w="1083"/>
        <w:gridCol w:w="1262"/>
        <w:gridCol w:w="1624"/>
        <w:gridCol w:w="1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629" w:type="dxa"/>
          </w:tcPr>
          <w:p>
            <w:pPr>
              <w:pStyle w:val="25"/>
              <w:rPr>
                <w:rFonts w:ascii="方正仿宋简体" w:eastAsia="方正仿宋简体"/>
                <w:sz w:val="17"/>
              </w:rPr>
            </w:pPr>
          </w:p>
          <w:p>
            <w:pPr>
              <w:pStyle w:val="25"/>
              <w:ind w:left="54" w:right="45"/>
              <w:jc w:val="center"/>
              <w:rPr>
                <w:rFonts w:ascii="方正仿宋简体" w:eastAsia="方正仿宋简体"/>
                <w:sz w:val="24"/>
              </w:rPr>
            </w:pPr>
            <w:r>
              <w:rPr>
                <w:rFonts w:hint="eastAsia" w:ascii="方正仿宋简体" w:eastAsia="方正仿宋简体"/>
                <w:sz w:val="24"/>
              </w:rPr>
              <w:t>序号</w:t>
            </w:r>
          </w:p>
        </w:tc>
        <w:tc>
          <w:tcPr>
            <w:tcW w:w="1623" w:type="dxa"/>
          </w:tcPr>
          <w:p>
            <w:pPr>
              <w:pStyle w:val="25"/>
              <w:rPr>
                <w:rFonts w:ascii="方正仿宋简体" w:eastAsia="方正仿宋简体"/>
                <w:sz w:val="17"/>
              </w:rPr>
            </w:pPr>
          </w:p>
          <w:p>
            <w:pPr>
              <w:pStyle w:val="25"/>
              <w:ind w:left="550" w:right="542"/>
              <w:jc w:val="center"/>
              <w:rPr>
                <w:rFonts w:ascii="方正仿宋简体" w:eastAsia="方正仿宋简体"/>
                <w:sz w:val="24"/>
              </w:rPr>
            </w:pPr>
            <w:r>
              <w:rPr>
                <w:rFonts w:hint="eastAsia" w:ascii="方正仿宋简体" w:eastAsia="方正仿宋简体"/>
                <w:sz w:val="24"/>
              </w:rPr>
              <w:t>单位</w:t>
            </w:r>
          </w:p>
        </w:tc>
        <w:tc>
          <w:tcPr>
            <w:tcW w:w="1172" w:type="dxa"/>
          </w:tcPr>
          <w:p>
            <w:pPr>
              <w:pStyle w:val="25"/>
              <w:rPr>
                <w:rFonts w:ascii="方正仿宋简体" w:eastAsia="方正仿宋简体"/>
                <w:sz w:val="17"/>
              </w:rPr>
            </w:pPr>
          </w:p>
          <w:p>
            <w:pPr>
              <w:pStyle w:val="25"/>
              <w:ind w:left="338"/>
              <w:rPr>
                <w:rFonts w:ascii="方正仿宋简体" w:eastAsia="方正仿宋简体"/>
                <w:sz w:val="24"/>
              </w:rPr>
            </w:pPr>
            <w:r>
              <w:rPr>
                <w:rFonts w:hint="eastAsia" w:ascii="方正仿宋简体" w:eastAsia="方正仿宋简体"/>
                <w:sz w:val="24"/>
              </w:rPr>
              <w:t>姓名</w:t>
            </w:r>
          </w:p>
        </w:tc>
        <w:tc>
          <w:tcPr>
            <w:tcW w:w="1083" w:type="dxa"/>
          </w:tcPr>
          <w:p>
            <w:pPr>
              <w:pStyle w:val="25"/>
              <w:rPr>
                <w:rFonts w:ascii="方正仿宋简体" w:eastAsia="方正仿宋简体"/>
                <w:sz w:val="17"/>
              </w:rPr>
            </w:pPr>
          </w:p>
          <w:p>
            <w:pPr>
              <w:pStyle w:val="25"/>
              <w:ind w:left="294"/>
              <w:rPr>
                <w:rFonts w:ascii="方正仿宋简体" w:eastAsia="方正仿宋简体"/>
                <w:sz w:val="24"/>
              </w:rPr>
            </w:pPr>
            <w:r>
              <w:rPr>
                <w:rFonts w:hint="eastAsia" w:ascii="方正仿宋简体" w:eastAsia="方正仿宋简体"/>
                <w:sz w:val="24"/>
              </w:rPr>
              <w:t>职务</w:t>
            </w:r>
          </w:p>
        </w:tc>
        <w:tc>
          <w:tcPr>
            <w:tcW w:w="1262" w:type="dxa"/>
          </w:tcPr>
          <w:p>
            <w:pPr>
              <w:pStyle w:val="25"/>
              <w:rPr>
                <w:rFonts w:ascii="方正仿宋简体" w:eastAsia="方正仿宋简体"/>
                <w:sz w:val="17"/>
              </w:rPr>
            </w:pPr>
          </w:p>
          <w:p>
            <w:pPr>
              <w:pStyle w:val="25"/>
              <w:ind w:left="146"/>
              <w:rPr>
                <w:rFonts w:ascii="方正仿宋简体" w:eastAsia="方正仿宋简体"/>
                <w:sz w:val="24"/>
              </w:rPr>
            </w:pPr>
            <w:r>
              <w:rPr>
                <w:rFonts w:hint="eastAsia" w:ascii="方正仿宋简体" w:eastAsia="方正仿宋简体"/>
                <w:sz w:val="24"/>
              </w:rPr>
              <w:t>办公电话</w:t>
            </w:r>
          </w:p>
        </w:tc>
        <w:tc>
          <w:tcPr>
            <w:tcW w:w="1624" w:type="dxa"/>
          </w:tcPr>
          <w:p>
            <w:pPr>
              <w:pStyle w:val="25"/>
              <w:rPr>
                <w:rFonts w:ascii="方正仿宋简体" w:eastAsia="方正仿宋简体"/>
                <w:sz w:val="17"/>
              </w:rPr>
            </w:pPr>
          </w:p>
          <w:p>
            <w:pPr>
              <w:pStyle w:val="25"/>
              <w:ind w:left="326"/>
              <w:rPr>
                <w:rFonts w:ascii="方正仿宋简体" w:eastAsia="方正仿宋简体"/>
                <w:sz w:val="24"/>
              </w:rPr>
            </w:pPr>
            <w:r>
              <w:rPr>
                <w:rFonts w:hint="eastAsia" w:ascii="方正仿宋简体" w:eastAsia="方正仿宋简体"/>
                <w:sz w:val="24"/>
              </w:rPr>
              <w:t>手机号码</w:t>
            </w:r>
          </w:p>
        </w:tc>
        <w:tc>
          <w:tcPr>
            <w:tcW w:w="1533" w:type="dxa"/>
          </w:tcPr>
          <w:p>
            <w:pPr>
              <w:pStyle w:val="25"/>
              <w:rPr>
                <w:rFonts w:ascii="方正仿宋简体" w:eastAsia="方正仿宋简体"/>
                <w:sz w:val="17"/>
              </w:rPr>
            </w:pPr>
          </w:p>
          <w:p>
            <w:pPr>
              <w:pStyle w:val="25"/>
              <w:ind w:left="141" w:right="141"/>
              <w:jc w:val="center"/>
              <w:rPr>
                <w:rFonts w:ascii="方正仿宋简体" w:eastAsia="方正仿宋简体"/>
                <w:sz w:val="24"/>
              </w:rPr>
            </w:pPr>
            <w:r>
              <w:rPr>
                <w:rFonts w:hint="eastAsia" w:ascii="方正仿宋简体" w:eastAsia="方正仿宋简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629" w:type="dxa"/>
          </w:tcPr>
          <w:p>
            <w:pPr>
              <w:pStyle w:val="25"/>
              <w:rPr>
                <w:rFonts w:ascii="方正仿宋简体" w:eastAsia="方正仿宋简体"/>
                <w:sz w:val="26"/>
              </w:rPr>
            </w:pPr>
          </w:p>
          <w:p>
            <w:pPr>
              <w:pStyle w:val="25"/>
              <w:ind w:left="10"/>
              <w:jc w:val="center"/>
              <w:rPr>
                <w:rFonts w:ascii="方正仿宋简体" w:eastAsia="方正仿宋简体"/>
                <w:sz w:val="24"/>
              </w:rPr>
            </w:pPr>
            <w:r>
              <w:rPr>
                <w:rFonts w:hint="eastAsia" w:ascii="方正仿宋简体" w:eastAsia="方正仿宋简体"/>
                <w:w w:val="89"/>
                <w:sz w:val="24"/>
              </w:rPr>
              <w:t>1</w:t>
            </w:r>
          </w:p>
        </w:tc>
        <w:tc>
          <w:tcPr>
            <w:tcW w:w="1623" w:type="dxa"/>
          </w:tcPr>
          <w:p>
            <w:pPr>
              <w:pStyle w:val="25"/>
              <w:rPr>
                <w:rFonts w:ascii="方正仿宋简体" w:eastAsia="方正仿宋简体"/>
                <w:sz w:val="24"/>
              </w:rPr>
            </w:pPr>
          </w:p>
        </w:tc>
        <w:tc>
          <w:tcPr>
            <w:tcW w:w="1172" w:type="dxa"/>
          </w:tcPr>
          <w:p>
            <w:pPr>
              <w:pStyle w:val="25"/>
              <w:rPr>
                <w:rFonts w:ascii="方正仿宋简体" w:eastAsia="方正仿宋简体"/>
                <w:sz w:val="24"/>
              </w:rPr>
            </w:pPr>
          </w:p>
        </w:tc>
        <w:tc>
          <w:tcPr>
            <w:tcW w:w="1083" w:type="dxa"/>
          </w:tcPr>
          <w:p>
            <w:pPr>
              <w:pStyle w:val="25"/>
              <w:rPr>
                <w:rFonts w:ascii="方正仿宋简体" w:eastAsia="方正仿宋简体"/>
                <w:sz w:val="24"/>
              </w:rPr>
            </w:pPr>
          </w:p>
        </w:tc>
        <w:tc>
          <w:tcPr>
            <w:tcW w:w="1262" w:type="dxa"/>
          </w:tcPr>
          <w:p>
            <w:pPr>
              <w:pStyle w:val="25"/>
              <w:rPr>
                <w:rFonts w:ascii="方正仿宋简体" w:eastAsia="方正仿宋简体"/>
                <w:sz w:val="24"/>
              </w:rPr>
            </w:pPr>
          </w:p>
        </w:tc>
        <w:tc>
          <w:tcPr>
            <w:tcW w:w="1624" w:type="dxa"/>
          </w:tcPr>
          <w:p>
            <w:pPr>
              <w:pStyle w:val="25"/>
              <w:rPr>
                <w:rFonts w:ascii="方正仿宋简体" w:eastAsia="方正仿宋简体"/>
                <w:sz w:val="24"/>
              </w:rPr>
            </w:pPr>
          </w:p>
        </w:tc>
        <w:tc>
          <w:tcPr>
            <w:tcW w:w="1533" w:type="dxa"/>
          </w:tcPr>
          <w:p>
            <w:pPr>
              <w:pStyle w:val="25"/>
              <w:rPr>
                <w:rFonts w:ascii="方正仿宋简体" w:eastAsia="方正仿宋简体"/>
                <w:sz w:val="17"/>
              </w:rPr>
            </w:pPr>
          </w:p>
          <w:p>
            <w:pPr>
              <w:pStyle w:val="25"/>
              <w:ind w:left="142" w:right="141"/>
              <w:jc w:val="center"/>
              <w:rPr>
                <w:rFonts w:ascii="方正仿宋简体" w:eastAsia="方正仿宋简体"/>
                <w:sz w:val="24"/>
              </w:rPr>
            </w:pPr>
            <w:r>
              <w:rPr>
                <w:rFonts w:hint="eastAsia" w:ascii="方正仿宋简体" w:eastAsia="方正仿宋简体"/>
                <w:sz w:val="24"/>
              </w:rPr>
              <w:t>学校负责人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629" w:type="dxa"/>
          </w:tcPr>
          <w:p>
            <w:pPr>
              <w:pStyle w:val="25"/>
              <w:rPr>
                <w:rFonts w:ascii="方正仿宋简体" w:eastAsia="方正仿宋简体"/>
                <w:sz w:val="26"/>
              </w:rPr>
            </w:pPr>
          </w:p>
          <w:p>
            <w:pPr>
              <w:pStyle w:val="25"/>
              <w:ind w:left="10"/>
              <w:jc w:val="center"/>
              <w:rPr>
                <w:rFonts w:ascii="方正仿宋简体" w:eastAsia="方正仿宋简体"/>
                <w:sz w:val="24"/>
              </w:rPr>
            </w:pPr>
            <w:r>
              <w:rPr>
                <w:rFonts w:hint="eastAsia" w:ascii="方正仿宋简体" w:eastAsia="方正仿宋简体"/>
                <w:w w:val="89"/>
                <w:sz w:val="24"/>
              </w:rPr>
              <w:t>2</w:t>
            </w:r>
          </w:p>
        </w:tc>
        <w:tc>
          <w:tcPr>
            <w:tcW w:w="1623" w:type="dxa"/>
          </w:tcPr>
          <w:p>
            <w:pPr>
              <w:pStyle w:val="25"/>
              <w:rPr>
                <w:rFonts w:ascii="方正仿宋简体" w:eastAsia="方正仿宋简体"/>
                <w:sz w:val="24"/>
              </w:rPr>
            </w:pPr>
          </w:p>
        </w:tc>
        <w:tc>
          <w:tcPr>
            <w:tcW w:w="1172" w:type="dxa"/>
          </w:tcPr>
          <w:p>
            <w:pPr>
              <w:pStyle w:val="25"/>
              <w:rPr>
                <w:rFonts w:ascii="方正仿宋简体" w:eastAsia="方正仿宋简体"/>
                <w:sz w:val="24"/>
              </w:rPr>
            </w:pPr>
          </w:p>
        </w:tc>
        <w:tc>
          <w:tcPr>
            <w:tcW w:w="1083" w:type="dxa"/>
          </w:tcPr>
          <w:p>
            <w:pPr>
              <w:pStyle w:val="25"/>
              <w:rPr>
                <w:rFonts w:ascii="方正仿宋简体" w:eastAsia="方正仿宋简体"/>
                <w:sz w:val="24"/>
              </w:rPr>
            </w:pPr>
          </w:p>
        </w:tc>
        <w:tc>
          <w:tcPr>
            <w:tcW w:w="1262" w:type="dxa"/>
          </w:tcPr>
          <w:p>
            <w:pPr>
              <w:pStyle w:val="25"/>
              <w:rPr>
                <w:rFonts w:ascii="方正仿宋简体" w:eastAsia="方正仿宋简体"/>
                <w:sz w:val="24"/>
              </w:rPr>
            </w:pPr>
          </w:p>
        </w:tc>
        <w:tc>
          <w:tcPr>
            <w:tcW w:w="1624" w:type="dxa"/>
          </w:tcPr>
          <w:p>
            <w:pPr>
              <w:pStyle w:val="25"/>
              <w:rPr>
                <w:rFonts w:ascii="方正仿宋简体" w:eastAsia="方正仿宋简体"/>
                <w:sz w:val="24"/>
              </w:rPr>
            </w:pPr>
          </w:p>
        </w:tc>
        <w:tc>
          <w:tcPr>
            <w:tcW w:w="1533" w:type="dxa"/>
          </w:tcPr>
          <w:p>
            <w:pPr>
              <w:pStyle w:val="25"/>
              <w:rPr>
                <w:rFonts w:ascii="方正仿宋简体" w:eastAsia="方正仿宋简体"/>
                <w:sz w:val="17"/>
              </w:rPr>
            </w:pPr>
          </w:p>
          <w:p>
            <w:pPr>
              <w:pStyle w:val="25"/>
              <w:ind w:left="142" w:right="141"/>
              <w:jc w:val="center"/>
              <w:rPr>
                <w:rFonts w:ascii="方正仿宋简体" w:eastAsia="方正仿宋简体"/>
                <w:sz w:val="24"/>
              </w:rPr>
            </w:pPr>
            <w:r>
              <w:rPr>
                <w:rFonts w:hint="eastAsia" w:ascii="方正仿宋简体" w:eastAsia="方正仿宋简体"/>
                <w:sz w:val="24"/>
              </w:rPr>
              <w:t>部门负责人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29" w:type="dxa"/>
          </w:tcPr>
          <w:p>
            <w:pPr>
              <w:pStyle w:val="25"/>
              <w:rPr>
                <w:rFonts w:ascii="方正仿宋简体" w:eastAsia="方正仿宋简体"/>
                <w:sz w:val="26"/>
              </w:rPr>
            </w:pPr>
          </w:p>
          <w:p>
            <w:pPr>
              <w:pStyle w:val="25"/>
              <w:ind w:left="10"/>
              <w:jc w:val="center"/>
              <w:rPr>
                <w:rFonts w:ascii="方正仿宋简体" w:eastAsia="方正仿宋简体"/>
                <w:sz w:val="24"/>
              </w:rPr>
            </w:pPr>
            <w:r>
              <w:rPr>
                <w:rFonts w:hint="eastAsia" w:ascii="方正仿宋简体" w:eastAsia="方正仿宋简体"/>
                <w:w w:val="89"/>
                <w:sz w:val="24"/>
              </w:rPr>
              <w:t>3</w:t>
            </w:r>
          </w:p>
        </w:tc>
        <w:tc>
          <w:tcPr>
            <w:tcW w:w="1623" w:type="dxa"/>
          </w:tcPr>
          <w:p>
            <w:pPr>
              <w:pStyle w:val="25"/>
              <w:rPr>
                <w:rFonts w:ascii="方正仿宋简体" w:eastAsia="方正仿宋简体"/>
                <w:sz w:val="24"/>
              </w:rPr>
            </w:pPr>
          </w:p>
        </w:tc>
        <w:tc>
          <w:tcPr>
            <w:tcW w:w="1172" w:type="dxa"/>
          </w:tcPr>
          <w:p>
            <w:pPr>
              <w:pStyle w:val="25"/>
              <w:rPr>
                <w:rFonts w:ascii="方正仿宋简体" w:eastAsia="方正仿宋简体"/>
                <w:sz w:val="24"/>
              </w:rPr>
            </w:pPr>
          </w:p>
        </w:tc>
        <w:tc>
          <w:tcPr>
            <w:tcW w:w="1083" w:type="dxa"/>
          </w:tcPr>
          <w:p>
            <w:pPr>
              <w:pStyle w:val="25"/>
              <w:rPr>
                <w:rFonts w:ascii="方正仿宋简体" w:eastAsia="方正仿宋简体"/>
                <w:sz w:val="24"/>
              </w:rPr>
            </w:pPr>
          </w:p>
        </w:tc>
        <w:tc>
          <w:tcPr>
            <w:tcW w:w="1262" w:type="dxa"/>
          </w:tcPr>
          <w:p>
            <w:pPr>
              <w:pStyle w:val="25"/>
              <w:rPr>
                <w:rFonts w:ascii="方正仿宋简体" w:eastAsia="方正仿宋简体"/>
                <w:sz w:val="24"/>
              </w:rPr>
            </w:pPr>
          </w:p>
        </w:tc>
        <w:tc>
          <w:tcPr>
            <w:tcW w:w="1624" w:type="dxa"/>
          </w:tcPr>
          <w:p>
            <w:pPr>
              <w:pStyle w:val="25"/>
              <w:rPr>
                <w:rFonts w:ascii="方正仿宋简体" w:eastAsia="方正仿宋简体"/>
                <w:sz w:val="24"/>
              </w:rPr>
            </w:pPr>
          </w:p>
        </w:tc>
        <w:tc>
          <w:tcPr>
            <w:tcW w:w="1533" w:type="dxa"/>
          </w:tcPr>
          <w:p>
            <w:pPr>
              <w:pStyle w:val="25"/>
              <w:rPr>
                <w:rFonts w:ascii="方正仿宋简体" w:eastAsia="方正仿宋简体"/>
                <w:sz w:val="17"/>
              </w:rPr>
            </w:pPr>
          </w:p>
          <w:p>
            <w:pPr>
              <w:pStyle w:val="25"/>
              <w:ind w:left="142" w:right="141"/>
              <w:jc w:val="center"/>
              <w:rPr>
                <w:rFonts w:ascii="方正仿宋简体" w:eastAsia="方正仿宋简体"/>
                <w:sz w:val="24"/>
              </w:rPr>
            </w:pPr>
            <w:r>
              <w:rPr>
                <w:rFonts w:hint="eastAsia" w:ascii="方正仿宋简体" w:eastAsia="方正仿宋简体"/>
                <w:sz w:val="24"/>
              </w:rPr>
              <w:t>日常联系人</w:t>
            </w:r>
          </w:p>
        </w:tc>
      </w:tr>
    </w:tbl>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pStyle w:val="6"/>
        <w:rPr>
          <w:rFonts w:ascii="方正小标宋简体"/>
          <w:sz w:val="36"/>
        </w:rPr>
      </w:pPr>
    </w:p>
    <w:p>
      <w:pPr>
        <w:spacing w:line="400" w:lineRule="exact"/>
        <w:ind w:firstLine="640" w:firstLineChars="200"/>
        <w:jc w:val="center"/>
        <w:rPr>
          <w:rFonts w:ascii="方正仿宋简体" w:hAnsi="方正仿宋简体" w:eastAsia="方正仿宋简体" w:cs="方正仿宋简体"/>
          <w:b/>
          <w:bCs/>
          <w:sz w:val="32"/>
          <w:szCs w:val="32"/>
        </w:rPr>
      </w:pPr>
    </w:p>
    <w:p>
      <w:pPr>
        <w:spacing w:line="400" w:lineRule="exact"/>
        <w:ind w:firstLine="640" w:firstLineChars="200"/>
        <w:jc w:val="center"/>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rPr>
        <w:t>山东省教育厅关于做好厅属高校所属企业工资决定机制改革有关工作的通知</w:t>
      </w:r>
    </w:p>
    <w:p>
      <w:pPr>
        <w:spacing w:line="400" w:lineRule="exact"/>
        <w:jc w:val="left"/>
        <w:rPr>
          <w:rFonts w:ascii="方正仿宋简体" w:hAnsi="方正仿宋简体" w:eastAsia="方正仿宋简体" w:cs="方正仿宋简体"/>
          <w:sz w:val="26"/>
          <w:szCs w:val="26"/>
          <w:lang w:val="zh-CN" w:bidi="zh-CN"/>
        </w:rPr>
      </w:pPr>
    </w:p>
    <w:p>
      <w:pPr>
        <w:spacing w:line="400" w:lineRule="exact"/>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厅属各高校：</w:t>
      </w:r>
    </w:p>
    <w:p>
      <w:pPr>
        <w:spacing w:line="400" w:lineRule="exact"/>
        <w:ind w:left="118" w:firstLine="520" w:firstLineChars="200"/>
        <w:jc w:val="left"/>
        <w:rPr>
          <w:rFonts w:ascii="方正仿宋简体" w:hAnsi="方正仿宋简体" w:eastAsia="方正仿宋简体" w:cs="方正仿宋简体"/>
          <w:bCs/>
          <w:iCs/>
          <w:sz w:val="26"/>
          <w:szCs w:val="26"/>
        </w:rPr>
      </w:pPr>
    </w:p>
    <w:p>
      <w:pPr>
        <w:spacing w:line="400" w:lineRule="exact"/>
        <w:ind w:left="118" w:right="115"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根据《山东省人民政府关于改革国有企业工资决定机制的实施意见》（鲁政发〔2018〕34 号，以下简称《实施意见》）精神， 按照《山东省人力资源和社会保障厅关于做好省属企业工资决定机制改革有关工作的通知》（鲁人社字〔2019〕5 号）要求，为做好省教育厅属高校所属企业工资决定机制改革工作，现就有关事项通知如下：</w:t>
      </w:r>
    </w:p>
    <w:p>
      <w:pPr>
        <w:spacing w:line="400" w:lineRule="exact"/>
        <w:ind w:left="118" w:right="233"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一、明确高校监管职责。各高校作为所属企业的出资人履行出资人监管职责，要按照《实施意见》要求，制定所监管企业的改革实施办法，并负责企业工资总额的具体监管。</w:t>
      </w:r>
    </w:p>
    <w:p>
      <w:pPr>
        <w:spacing w:line="400" w:lineRule="exact"/>
        <w:ind w:left="118" w:right="233"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二、做好审核认定工作。各高校要指导所监管企业按照《实施意见》精神，提前做好 2019 年实施改革的有关基础工作，尤其是改革前工资总额未纳入有关部门规范管理的，要做好企业改革第一年总额基数的审核认定工作，防止企业超发或滥发工资等违规行为，确保改革于 2019 年起全面顺利实施。</w:t>
      </w:r>
    </w:p>
    <w:p>
      <w:pPr>
        <w:spacing w:line="400" w:lineRule="exact"/>
        <w:ind w:left="118" w:right="114" w:firstLine="520" w:firstLineChars="200"/>
        <w:jc w:val="left"/>
        <w:rPr>
          <w:rFonts w:ascii="方正仿宋简体" w:hAnsi="方正仿宋简体" w:eastAsia="方正仿宋简体" w:cs="方正仿宋简体"/>
          <w:bCs/>
          <w:iCs/>
          <w:sz w:val="26"/>
          <w:szCs w:val="26"/>
        </w:rPr>
      </w:pPr>
      <w:r>
        <w:rPr>
          <w:rFonts w:hint="eastAsia" w:ascii="方正仿宋简体" w:hAnsi="方正仿宋简体" w:eastAsia="方正仿宋简体" w:cs="方正仿宋简体"/>
          <w:bCs/>
          <w:iCs/>
          <w:sz w:val="26"/>
          <w:szCs w:val="26"/>
        </w:rPr>
        <w:t>三、及时制定管理办法。各高校要按照《实施意见》要求，于 4 月底前制定所监管企业的改革实施办法并组织实施，不再提交省人力资源社会保障厅和省财政厅备案。改革实施办法中的效益考核办法应包括企业功能分类、联动指标选取及权重、考核目标值、考核计分及考核档次等内容。</w:t>
      </w:r>
    </w:p>
    <w:p>
      <w:pPr>
        <w:spacing w:line="400" w:lineRule="exact"/>
        <w:ind w:left="118" w:right="114" w:firstLine="520" w:firstLineChars="200"/>
        <w:jc w:val="left"/>
        <w:rPr>
          <w:rFonts w:ascii="方正仿宋简体" w:hAnsi="方正仿宋简体" w:eastAsia="方正仿宋简体" w:cs="方正仿宋简体"/>
          <w:sz w:val="26"/>
          <w:szCs w:val="26"/>
        </w:rPr>
      </w:pPr>
    </w:p>
    <w:p>
      <w:pPr>
        <w:spacing w:line="400" w:lineRule="exact"/>
        <w:ind w:left="118" w:right="114" w:firstLine="520" w:firstLineChars="200"/>
        <w:jc w:val="left"/>
        <w:rPr>
          <w:rFonts w:ascii="方正仿宋简体" w:hAnsi="方正仿宋简体" w:eastAsia="方正仿宋简体" w:cs="方正仿宋简体"/>
          <w:sz w:val="26"/>
          <w:szCs w:val="26"/>
        </w:rPr>
      </w:pPr>
    </w:p>
    <w:p>
      <w:pPr>
        <w:spacing w:line="400" w:lineRule="exact"/>
        <w:ind w:right="654" w:firstLine="4810" w:firstLineChars="18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山东省教育厅</w:t>
      </w:r>
    </w:p>
    <w:p>
      <w:pPr>
        <w:spacing w:line="400" w:lineRule="exact"/>
        <w:ind w:right="654" w:firstLine="4495" w:firstLineChars="155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pacing w:val="15"/>
          <w:sz w:val="26"/>
          <w:szCs w:val="26"/>
        </w:rPr>
        <w:t>2019</w:t>
      </w:r>
      <w:r>
        <w:rPr>
          <w:rFonts w:hint="eastAsia" w:ascii="方正仿宋简体" w:hAnsi="方正仿宋简体" w:eastAsia="方正仿宋简体" w:cs="方正仿宋简体"/>
          <w:spacing w:val="60"/>
          <w:sz w:val="26"/>
          <w:szCs w:val="26"/>
        </w:rPr>
        <w:t>年3</w:t>
      </w:r>
      <w:r>
        <w:rPr>
          <w:rFonts w:hint="eastAsia" w:ascii="方正仿宋简体" w:hAnsi="方正仿宋简体" w:eastAsia="方正仿宋简体" w:cs="方正仿宋简体"/>
          <w:spacing w:val="-30"/>
          <w:sz w:val="26"/>
          <w:szCs w:val="26"/>
        </w:rPr>
        <w:t xml:space="preserve">月 </w:t>
      </w:r>
      <w:r>
        <w:rPr>
          <w:rFonts w:hint="eastAsia" w:ascii="方正仿宋简体" w:hAnsi="方正仿宋简体" w:eastAsia="方正仿宋简体" w:cs="方正仿宋简体"/>
          <w:spacing w:val="30"/>
          <w:sz w:val="26"/>
          <w:szCs w:val="26"/>
        </w:rPr>
        <w:t>27</w:t>
      </w:r>
      <w:r>
        <w:rPr>
          <w:rFonts w:hint="eastAsia" w:ascii="方正仿宋简体" w:hAnsi="方正仿宋简体" w:eastAsia="方正仿宋简体" w:cs="方正仿宋简体"/>
          <w:sz w:val="26"/>
          <w:szCs w:val="26"/>
        </w:rPr>
        <w:t>日</w:t>
      </w:r>
    </w:p>
    <w:p>
      <w:pPr>
        <w:spacing w:line="400" w:lineRule="exact"/>
        <w:ind w:firstLine="520" w:firstLineChars="200"/>
        <w:jc w:val="left"/>
        <w:rPr>
          <w:rFonts w:ascii="方正仿宋简体" w:hAnsi="方正仿宋简体" w:eastAsia="方正仿宋简体" w:cs="方正仿宋简体"/>
          <w:sz w:val="26"/>
          <w:szCs w:val="26"/>
        </w:rPr>
      </w:pPr>
    </w:p>
    <w:p>
      <w:pPr>
        <w:widowControl/>
        <w:shd w:val="clear" w:color="auto" w:fill="F2F2F2"/>
        <w:jc w:val="center"/>
        <w:rPr>
          <w:rFonts w:ascii="宋体" w:hAnsi="宋体" w:eastAsia="宋体" w:cs="宋体"/>
          <w:b/>
          <w:bCs/>
          <w:color w:val="FF0000"/>
          <w:kern w:val="0"/>
          <w:sz w:val="36"/>
        </w:rPr>
      </w:pPr>
    </w:p>
    <w:p>
      <w:pPr>
        <w:widowControl/>
        <w:shd w:val="clear" w:color="auto" w:fill="F2F2F2"/>
        <w:jc w:val="center"/>
        <w:rPr>
          <w:rFonts w:ascii="宋体" w:hAnsi="宋体" w:eastAsia="宋体" w:cs="宋体"/>
          <w:b/>
          <w:bCs/>
          <w:color w:val="FF0000"/>
          <w:kern w:val="0"/>
          <w:sz w:val="36"/>
        </w:rPr>
      </w:pPr>
    </w:p>
    <w:p>
      <w:pPr>
        <w:widowControl/>
        <w:shd w:val="clear" w:color="auto" w:fill="F2F2F2"/>
        <w:jc w:val="center"/>
        <w:rPr>
          <w:rFonts w:ascii="宋体" w:hAnsi="宋体" w:eastAsia="宋体" w:cs="宋体"/>
          <w:b/>
          <w:bCs/>
          <w:color w:val="FF0000"/>
          <w:kern w:val="0"/>
          <w:sz w:val="36"/>
        </w:rPr>
      </w:pPr>
    </w:p>
    <w:p>
      <w:pPr>
        <w:widowControl/>
        <w:shd w:val="clear" w:color="auto" w:fill="F2F2F2"/>
        <w:jc w:val="center"/>
        <w:rPr>
          <w:rFonts w:ascii="宋体" w:hAnsi="宋体" w:eastAsia="宋体" w:cs="宋体"/>
          <w:b/>
          <w:bCs/>
          <w:color w:val="FF0000"/>
          <w:kern w:val="0"/>
          <w:sz w:val="36"/>
        </w:rPr>
      </w:pPr>
    </w:p>
    <w:p>
      <w:pPr>
        <w:widowControl/>
        <w:shd w:val="clear" w:color="auto" w:fill="F2F2F2"/>
        <w:jc w:val="center"/>
        <w:rPr>
          <w:rFonts w:ascii="宋体" w:hAnsi="宋体" w:eastAsia="宋体" w:cs="宋体"/>
          <w:color w:val="00008B"/>
          <w:kern w:val="0"/>
          <w:sz w:val="34"/>
          <w:szCs w:val="34"/>
        </w:rPr>
      </w:pPr>
      <w:r>
        <w:rPr>
          <w:rFonts w:hint="eastAsia" w:ascii="宋体" w:hAnsi="宋体" w:eastAsia="宋体" w:cs="宋体"/>
          <w:b/>
          <w:bCs/>
          <w:color w:val="FF0000"/>
          <w:kern w:val="0"/>
          <w:sz w:val="36"/>
        </w:rPr>
        <w:t>国务院办公厅文件</w:t>
      </w:r>
    </w:p>
    <w:p>
      <w:pPr>
        <w:widowControl/>
        <w:shd w:val="clear" w:color="auto" w:fill="F2F2F2"/>
        <w:jc w:val="center"/>
        <w:rPr>
          <w:rFonts w:ascii="宋体" w:hAnsi="宋体" w:eastAsia="宋体" w:cs="宋体"/>
          <w:color w:val="00008B"/>
          <w:kern w:val="0"/>
          <w:sz w:val="34"/>
          <w:szCs w:val="34"/>
        </w:rPr>
      </w:pPr>
      <w:r>
        <w:rPr>
          <w:rFonts w:hint="eastAsia" w:ascii="宋体" w:hAnsi="宋体" w:eastAsia="宋体" w:cs="宋体"/>
          <w:color w:val="00008B"/>
          <w:kern w:val="0"/>
          <w:sz w:val="34"/>
          <w:szCs w:val="34"/>
        </w:rPr>
        <w:t> </w:t>
      </w:r>
    </w:p>
    <w:p>
      <w:pPr>
        <w:widowControl/>
        <w:shd w:val="clear" w:color="auto" w:fill="F2F2F2"/>
        <w:jc w:val="center"/>
        <w:rPr>
          <w:rFonts w:ascii="宋体" w:hAnsi="宋体" w:eastAsia="宋体" w:cs="宋体"/>
          <w:color w:val="00008B"/>
          <w:kern w:val="0"/>
          <w:sz w:val="34"/>
          <w:szCs w:val="34"/>
        </w:rPr>
      </w:pPr>
      <w:r>
        <w:rPr>
          <w:rFonts w:hint="eastAsia" w:ascii="宋体" w:hAnsi="宋体" w:eastAsia="宋体" w:cs="宋体"/>
          <w:b/>
          <w:bCs/>
          <w:color w:val="000000"/>
          <w:kern w:val="0"/>
          <w:sz w:val="27"/>
        </w:rPr>
        <w:t>国办发[2005]60号</w:t>
      </w:r>
    </w:p>
    <w:p>
      <w:pPr>
        <w:widowControl/>
        <w:jc w:val="center"/>
        <w:rPr>
          <w:rFonts w:ascii="宋体" w:hAnsi="宋体" w:eastAsia="宋体" w:cs="宋体"/>
          <w:kern w:val="0"/>
          <w:sz w:val="24"/>
        </w:rPr>
      </w:pPr>
      <w:r>
        <w:rPr>
          <w:rFonts w:ascii="宋体" w:hAnsi="宋体" w:eastAsia="宋体" w:cs="宋体"/>
          <w:b/>
          <w:bCs/>
          <w:color w:val="00008B"/>
          <w:kern w:val="0"/>
          <w:sz w:val="36"/>
        </w:rPr>
        <w:t>国务院办公厅转发国资委关于进一步规范</w:t>
      </w:r>
      <w:r>
        <w:rPr>
          <w:rFonts w:ascii="宋体" w:hAnsi="宋体" w:eastAsia="宋体" w:cs="宋体"/>
          <w:b/>
          <w:bCs/>
          <w:color w:val="00008B"/>
          <w:kern w:val="0"/>
          <w:sz w:val="36"/>
          <w:szCs w:val="36"/>
          <w:shd w:val="clear" w:color="auto" w:fill="F2F2F2"/>
        </w:rPr>
        <w:br w:type="textWrapping"/>
      </w:r>
      <w:r>
        <w:rPr>
          <w:rFonts w:ascii="宋体" w:hAnsi="宋体" w:eastAsia="宋体" w:cs="宋体"/>
          <w:b/>
          <w:bCs/>
          <w:color w:val="00008B"/>
          <w:kern w:val="0"/>
          <w:sz w:val="36"/>
        </w:rPr>
        <w:t>国有企业改制工作实施意见的通知</w:t>
      </w:r>
    </w:p>
    <w:p>
      <w:pPr>
        <w:widowControl/>
        <w:shd w:val="clear" w:color="auto" w:fill="F2F2F2"/>
        <w:spacing w:after="225"/>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各省、自治区、直辖市人民政府,国务院各部委、各直属机构:</w:t>
      </w:r>
    </w:p>
    <w:p>
      <w:pPr>
        <w:widowControl/>
        <w:shd w:val="clear" w:color="auto" w:fill="F2F2F2"/>
        <w:spacing w:after="225"/>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国资委《关于进一步规范国有企业改制工作的实施意见》已经国务院同意,现转发给你们,请认真贯彻执行。</w:t>
      </w:r>
    </w:p>
    <w:p>
      <w:pPr>
        <w:widowControl/>
        <w:shd w:val="clear" w:color="auto" w:fill="F2F2F2"/>
        <w:spacing w:after="225"/>
        <w:jc w:val="center"/>
        <w:rPr>
          <w:rFonts w:hint="eastAsia" w:ascii="微软雅黑" w:hAnsi="微软雅黑" w:eastAsia="宋体" w:cs="宋体"/>
          <w:color w:val="000000"/>
          <w:kern w:val="0"/>
          <w:sz w:val="24"/>
        </w:rPr>
      </w:pPr>
      <w:r>
        <w:rPr>
          <w:rFonts w:ascii="宋体" w:hAnsi="宋体" w:eastAsia="宋体" w:cs="宋体"/>
          <w:color w:val="000000"/>
          <w:kern w:val="0"/>
          <w:sz w:val="27"/>
          <w:szCs w:val="27"/>
        </w:rPr>
        <w:t>国务院办公厅</w:t>
      </w:r>
    </w:p>
    <w:p>
      <w:pPr>
        <w:widowControl/>
        <w:shd w:val="clear" w:color="auto" w:fill="F2F2F2"/>
        <w:spacing w:after="225"/>
        <w:jc w:val="center"/>
        <w:rPr>
          <w:rFonts w:hint="eastAsia" w:ascii="微软雅黑" w:hAnsi="微软雅黑" w:eastAsia="宋体" w:cs="宋体"/>
          <w:color w:val="000000"/>
          <w:kern w:val="0"/>
          <w:sz w:val="24"/>
        </w:rPr>
      </w:pPr>
      <w:r>
        <w:rPr>
          <w:rFonts w:ascii="宋体" w:hAnsi="宋体" w:eastAsia="宋体" w:cs="宋体"/>
          <w:color w:val="000000"/>
          <w:kern w:val="0"/>
          <w:sz w:val="27"/>
          <w:szCs w:val="27"/>
        </w:rPr>
        <w:t>二○○五年十二月十九日</w:t>
      </w:r>
    </w:p>
    <w:p>
      <w:pPr>
        <w:widowControl/>
        <w:shd w:val="clear" w:color="auto" w:fill="F2F2F2"/>
        <w:spacing w:after="225"/>
        <w:jc w:val="center"/>
        <w:rPr>
          <w:rFonts w:hint="eastAsia" w:ascii="微软雅黑" w:hAnsi="微软雅黑" w:eastAsia="宋体" w:cs="宋体"/>
          <w:color w:val="000000"/>
          <w:kern w:val="0"/>
          <w:sz w:val="24"/>
        </w:rPr>
      </w:pPr>
      <w:r>
        <w:rPr>
          <w:rFonts w:ascii="微软雅黑" w:hAnsi="微软雅黑" w:eastAsia="宋体" w:cs="宋体"/>
          <w:color w:val="000000"/>
          <w:kern w:val="0"/>
          <w:sz w:val="24"/>
        </w:rPr>
        <w:t> </w:t>
      </w:r>
    </w:p>
    <w:p>
      <w:pPr>
        <w:widowControl/>
        <w:shd w:val="clear" w:color="auto" w:fill="F2F2F2"/>
        <w:spacing w:after="225"/>
        <w:jc w:val="center"/>
        <w:rPr>
          <w:rFonts w:hint="eastAsia" w:ascii="微软雅黑" w:hAnsi="微软雅黑" w:eastAsia="宋体" w:cs="宋体"/>
          <w:color w:val="000000"/>
          <w:kern w:val="0"/>
          <w:sz w:val="24"/>
        </w:rPr>
      </w:pPr>
      <w:r>
        <w:rPr>
          <w:rFonts w:ascii="宋体" w:hAnsi="宋体" w:eastAsia="宋体" w:cs="宋体"/>
          <w:b/>
          <w:bCs/>
          <w:color w:val="000000"/>
          <w:kern w:val="0"/>
          <w:sz w:val="36"/>
        </w:rPr>
        <w:t>关于进一步规范国有企业改制工作的实施意见</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国务院办公厅转发国务院国有资产监督管理委员会关于规范国有企业改制工作意见的通知》(国办发〔2003〕96号)印发以来,各地区、各有关部门加强组织领导,认真贯彻落实,规范国有企业改制工作取得了重大进展。但在实际工作中还存在改制方案不完善、审批不严格,清产核资、财务审计、资产评估和产权转让不规范,对维护职工合法权益重视不够等问题。为确保国有企业改制工作健康发展,防止国有资产流失,维护职工合法权益,现就进一步规范国有企业改制工作提出以下意见:</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一、严格制订和审批企业改制方案</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认真制订企业改制方案。改制方案的主要内容应包括:改制的目的及必要性,改制后企业的资产、业务、股权设置和产品开发、技术改造等;改制的具体形式;改制后形成的法人治理结构;企业的债权、债务落实情况;职工安置方案;改制的操作程序,财务审计、资产评估等中介机构和产权交易市场的选择等。</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改制方案必须明确保全金融债权,依法落实金融债务,并征得金融机构债权人的同意。审批改制方案的单位(包括各级人民政府、各级国有资产监督管理机构及其所出资企业、各级国有资产监督管理机构以外有权审批改制方案的部门及其授权单位,下同)应认真审查,严格防止企业利用改制逃废金融债务,对未依法保全金融债权、落实金融债务的改制方案不予批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企业改制中涉及企业国有产权转让的,应严格按照国家有关法律法规以及《企业国有产权转让管理暂行办法》(国资委、财政部令第3号)、《关于印发〈企业国有产权向管理层转让暂行规定〉的通知》(国资发产权〔2005〕78号)及相关配套文件的规定执行。拟通过增资扩股实施改制的企业,应当通过产权交易市场、媒体或网络等公开企业改制有关情况、投资者条件等信息,择优选择投资者;情况特殊的,经国有资产监督管理机构批准,可通过向多个具备相关资质条件的潜在投资者提供信息等方式,选定投资者。企业改制涉及公开上市发行股票的,按照《中华人民共和国证券法》等有关法律法规执行。</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四)企业改制必须对改制方案出具法律意见书。法律意见书由审批改制方案的单位的法律顾问或该单位决定聘请的律师事务所出具,拟改制为国有控股企业且职工(包括管理层)不持有本企业股权的,可由审批改制方案的单位授权该企业法律顾问出具。</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五)国有企业改制方案需按照《企业国有资产监督管理暂行条例》(国务院令第378号)和国务院国有资产监督管理委员会的有关规定履行决定或批准程序,否则不得实施改制。国有企业改制涉及财政、劳动保障等事项的,须预先报经同级人民政府有关部门审核,批准后报国有资产监督管理机构协调审批;涉及政府社会公共管理审批事项的,依照国家有关法律法规,报经政府有关部门审批;国有资产监督管理机构所出资企业改制为非国有企业(国有股不控股及不参股的企业),改制方案须报同级人民政府批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(六)审批改制方案的单位必须按照权利、义务、责任相统一的原则,建立有关审批的程序、权限、责任等制度。</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七)审批改制方案的单位必须就改制方案的审批及清产核资、财务审计、资产评估、进场交易、定价、转让价款、落实债权、职工安置方案等重要资料建立档案管理制度,改制企业的国有产权持有单位要妥善保管相关资料。</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二、认真做好清产核资工作</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企业改制要按照有关规定进行清产核资。要切实对企业资产进行全面清理、核对和查实,盘点实物、核实账目,核查负债和所有者权益,做好各类应收及预付账款、各项对外投资、账外资产的清查,做好有关抵押、担保等事项的清理工作,按照国家规定调整有关账务。</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(二)清产核资结果经国有产权持有单位审核认定,并经国有资产监督管理机构确认后,自清产核资基准日起2年内有效,在有效期内企业实施改制不再另行组织清产核资。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(三)企业实施改制仅涉及引入非国有投资者少量投资,且企业已按照国家有关规定规范进行会计核算的,经本级国有资产监督管理机构批准,可不进行清产核资。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三、加强对改制企业的财务审计和资产评估</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企业实施改制必须由审批改制方案的单位确定的中介机构进行财务审计和资产评估。确定中介机构必须考察和了解其资质、信誉及能力;不得聘请改制前两年内在企业财务审计中有违法、违规记录的会计师事务所和注册会计师;不得聘请参与该企业上一次资产评估的中介机构和注册资产评估师;不得聘请同一中介机构开展财务审计与资产评估。</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财务审计应依据《中国注册会计师独立审计准则》等有关规定实施。其中,依据国家有关规定计提的各项资产减值准备,必须由会计师事务所逐笔逐项审核并出具专项意见,与审计报告一并提交国有产权持有单位作为改制方案依据,其中不合理的减值准备应予调整。国有独资企业实施改制,计提各项资产减值准备和已核销的各项资产损失凡影响国有产权转让价或折股价的,该计提减值准备的资产和已核销的各项资产损失必须交由改制企业的国有产权持有单位负责处理,国有产权持有单位应采取清理追缴等监管措施,落实监管责任,最大程度地减少损失。国有控股企业实施改制,计提各项减值准备的资产和已核销的各项资产损失由国有产权持有单位与其他股东协商处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国有独资企业实施改制,自企业资产评估基准日到企业改制后进行工商变更登记期间,因企业盈利而增加的净资产,应上交国有产权持有单位,或经国有产权持有单位同意,作为改制企业国有权益;因企业亏损而减少的净资产,应由国有产权持有单位补足,或者由改制企业用以后年度国有股份应得的股利补足。国有控股企业实施改制,自企业资产评估基准日到改制后工商变更登记期间的净资产变化,应由改制前企业的各产权持有单位协商处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四)改制为非国有的企业,必须在改制前由国有产权持有单位组织进行法定代表人离任审计,不得以财务审计代替离任审计。离任审计应依照国家有关法律法规和《中央企业经济责任审计管理暂行办法》(国资委令第7号)及相关配套规定执行。财务审计和离任审计工作应由两家会计师事务所分别承担,分别出具审计报告。</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五)企业改制涉及土地使用权的,必须经土地确权登记并明确土地使用权的处置方式。进入企业改制资产范围的土地使用权必须经具备土地估价资格的中介机构进行评估,并按国家有关规定备案。涉及国有划拨土地使用权的,必须按照国家土地管理有关规定办理土地使用权处置审批手续。</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六)企业改制涉及探矿权、采矿权有关事项的,依照国家有关法律以及《探矿权、采矿权转让管理办法》(国务院令第242号)、国土资源部《关于印发〈探矿权采矿权招标拍卖挂牌管理办法(试行)〉的通知》(国土资发〔2003〕197号)、财政部、国土资源部《关于印发〈探矿权采矿权价款转增国家资本管理办法〉的通知》(财建〔2004〕262号)等有关规定执行。企业改制必须由国土资源主管部门明确探矿权、采矿权的处置方式,但不得单独转让探矿权、采矿权,涉及由国家出资形成的探矿权、采矿权的,应当按照国家有关规定办理处置审批手续。进入企业改制资产范围的探矿权、采矿权,必须经具有矿业权评估资格的中介机构进行评估作价(采矿权评估结果报国土资源主管部门确认)并纳入企业整体资产中,由审批改制方案的单位商国土资源主管部门审批后处置。</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七)没有进入企业改制资产范围的实物资产和专利权、非专利技术、商标权、土地使用权、探矿权、采矿权、特许经营权等资产,改制后的企业不得无偿使用;若需使用的,有偿使用费或租赁费计算标准应参考资产评估价或同类资产的市场价确定。</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八)非国有投资者以实物资产和专利权、非专利技术、商标权、土地使用权、探矿权、采矿权、特许经营权等资产评估作价参与企业改制,由国有产权持有单位和非国有投资者共同认可的中介机构,对双方进入改制企业的资产按同一基准日进行评估;若一方资产已经评估,可由另一方对资产评估结果进行复核。</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(九)在清产核资、财务审计、离任审计、资产评估、落实债务、产权交易等过程中发现造成国有资产流失、逃废金融债务等违法违纪问题的,必须暂停改制并追查有关人员的责任。</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四、切实维护职工的合法权益</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改制方案必须提交企业职工代表大会或职工大会审议,并按照有关规定和程序及时向广大职工群众公布。应当向广大职工群众讲清楚国家关于国有企业改革的方针政策和改制的规定,讲清楚改制的必要性、紧迫性以及企业的发展思路。在改制方案制订过程中要充分听取职工群众意见,深入细致地做好思想工作,争取广大职工群众对改制的理解和支持。</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国有企业实施改制前,原企业应当与投资者就职工安置费用、劳动关系接续等问题明确相关责任,并制订职工安置方案。职工安置方案必须经职工代表大会或职工大会审议通过,企业方可实施改制。职工安置方案必须及时向广大职工群众公布,其主要内容包括:企业的人员状况及分流安置意见;职工劳动合同的变更、解除及重新签订办法;解除劳动合同职工的经济补偿金支付办法;社会保险关系接续;拖欠职工的工资等债务和企业欠缴的社会保险费处理办法等。</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(三)企业实施改制时必须向职工群众公布企业总资产、总负债、净资产、净利润等主要财务指标的财务审计、资产评估结果,接受职工群众的民主监督。</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四)改制为国有控股企业的,改制后企业继续履行改制前企业与留用的职工签订的劳动合同;留用的职工在改制前企业的工作年限应合并计算为在改制后企业的工作年限;原企业不得向继续留用的职工支付经济补偿金。改制为非国有企业的,要严格按照有关法律法规和政策处理好改制企业与职工的劳动关系。对企业改制时解除劳动合同且不再继续留用的职工,要支付经济补偿金。企业国有产权持有单位不得强迫职工将经济补偿金等费用用于对改制后企业的投资或借给改制后企业(包括改制企业的投资者)使用。</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五)企业改制时,对经确认的拖欠职工的工资、集资款、医疗费和挪用的职工住房公积金以及企业欠缴社会保险费,原则上要一次性付清。改制后的企业要按照有关规定,及时为职工接续养老、失业、医疗、工伤、生育等各项社会保险关系,并按时为职工足额交纳各种社会保险费。</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五、严格控制企业管理层通过增资扩股持股</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(一)本意见所称“管理层”是指国有及国有控股企业的负责人以及领导班子的其他成员;本意见所称“管理层通过增资扩股持股”,不包括对管理层实施的奖励股权或股票期权。</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国有及国有控股大型企业实施改制,应严格控制管理层通过增资扩股以各种方式直接或间接持有本企业的股权。为探索实施激励与约束机制,经国有资产监督管理机构批准,凡通过公开招聘、企业内部竞争上岗等方式竞聘上岗或对企业发展作出重大贡献的管理层成员,可通过增资扩股持有本企业股权,但管理层的持股总量不得达到控股或相对控股数量。国有及国有控股企业的划型标准按照统计局《关于印发〈统计上大中小型企业划分办法(暂行)〉的通知》(国统字〔2003〕17号)和原国家经贸委、原国家计委、财政部、统计局《关于印发中小企业标准暂行规定的通知》(国经贸中小企〔2003〕143号)规定的分类标准执行。</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管理层成员拟通过增资扩股持有企业股权的,不得参与制订改制方案、确定国有产权折股价、选择中介机构,以及清产核资、财务审计、离任审计、资产评估中的重大事项。管理层持股必须提供资金来源合法的相关证明,必须执行《贷款通则》的有关规定,不得向包括本企业在内的国有及国有控股企业借款,不得以国有产权或资产作为标的物通过抵押、质押、贴现等方式筹集资金,也不得采取信托或委托等方式间接持有企业股权。</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(四)存在下列情况之一的管理层成员,不得通过增资扩股持有改制企业的股权:</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1.经审计认定对改制企业经营业绩下降负有直接责任的;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2.故意转移、隐匿资产,或者在改制过程中通过关联交易影响企业净资产的;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3.向中介机构提供虚假资料,导致审计、评估结果失真,或者与有关方面串通,压低资产评估值以及国有产权折股价的;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4.违反有关规定,参与制订改制方案、确定国有产权折股价、选择中介机构,以及清产核资、财务审计、离任审计、资产评估中重大事项的;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5.无法提供持股资金来源合法相关证明的。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(五)涉及管理层通过增资扩股持股的改制方案,必须对管理层成员不再持有企业股权的有关事项作出具体规定。</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(六)管理层通过增资扩股持有企业股权后涉及该企业所持上市公司国有股性质变更的,按国家有关规定办理。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六、加强对改制工作的领导和管理</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一)除国有大中型企业实施主辅分离、辅业改制,通过境内外首次公开发行股票并上市改制为国有控股企业,以及国有控股的上市公司增资扩股和收购资产按国家其他规定执行外,凡符合以下情况之一的,须执行国办发〔2003〕96号文件和本意见的各项规定:</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1.国有及国有控股企业(包括其全资、控股子企业,下同)增量引入非国有投资,或者国有及国有控股企业的国有产权持有单位向非国有投资者转让该企业国有产权的。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2.国有及国有控股企业以其非货币资产出资与非国有投资者共同投资设立新公司,并因此安排原企业部分职工在新公司就业的。</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国有及国有控股企业以现金出资与非国有投资者共同投资设立新公司,并因此安排原企业部分职工在新公司就业的,执行国办发〔2003〕96号文件和本意见除清产核资、财务审计、资产评估、定价程序以外的其他各项规定。</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3.各级国有资产监督管理机构作出其他有关规定的。对由国有资产监督管理机构以外的其他部门履行出资人职责的企业,由相关部门规定。</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二)国有产权持有单位应与非国有投资者协商签订合同、协议,维护职工合法权益,防止国有资产流失,确保进入改制后企业的国有资产保值增值。对需要在改制后履行的合同、协议,国有产权持有单位应负责跟踪、监督、检查,确保各项条款执行到位。改制后的国有控股企业应当建立现代企业制度,完善法人治理结构,制订明确的企业发展思路和转换机制方案,加快技术进步,加强内部管理,提高市场竞争力。企业在改制过程中要重视企业工会组织的建设,充分发挥工会组织的作用。</w:t>
      </w:r>
    </w:p>
    <w:p>
      <w:pPr>
        <w:widowControl/>
        <w:shd w:val="clear" w:color="auto" w:fill="F2F2F2"/>
        <w:spacing w:line="400" w:lineRule="exact"/>
        <w:jc w:val="left"/>
        <w:rPr>
          <w:rFonts w:hint="eastAsia" w:ascii="微软雅黑" w:hAnsi="微软雅黑" w:eastAsia="宋体" w:cs="宋体"/>
          <w:color w:val="000000"/>
          <w:kern w:val="0"/>
          <w:sz w:val="24"/>
        </w:rPr>
      </w:pPr>
      <w:r>
        <w:rPr>
          <w:rFonts w:ascii="宋体" w:hAnsi="宋体" w:eastAsia="宋体" w:cs="宋体"/>
          <w:color w:val="000000"/>
          <w:kern w:val="0"/>
          <w:sz w:val="27"/>
          <w:szCs w:val="27"/>
        </w:rPr>
        <w:t>　　(三)地方各级人民政府及其国有资产监督管理机构、国有及国有控股企业,要全面理解和正确贯彻落实党中央、国务院关于国有企业改革的方针、政策和措施。切实加强对国有企业改制工作的组织领导,严格执行有关改制的各项规定,认真履行改制的各项工作程序,有效防止国有资产流失。加强对改制企业落实职工安置方案的监督检查,切实维护职工的合法权益。地方政府及有关部门要关心改制后企业的改革和发展,督促落实改制措施,帮助解决遇到的困难和问题,为改制企业发展创造良好的环境和条件。地方各级人民政府要充分考虑企业、职工和社会的承受能力,妥善处理好原地方政策与现有政策的衔接,防止引发新的矛盾。各级国有资产监督管理机构要加强对国办发〔2003〕96号文件、本意见和国资委、财政部令第3号等有关规定贯彻执行情况的监督检查,及时总结经验,发现和纠正改制工作中存在的问题,促进国有企业改制工作健康、有序、规范发展。</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520" w:firstLineChars="200"/>
        <w:jc w:val="left"/>
        <w:rPr>
          <w:rFonts w:ascii="方正仿宋简体" w:hAnsi="方正仿宋简体" w:eastAsia="方正仿宋简体" w:cs="方正仿宋简体"/>
          <w:sz w:val="26"/>
          <w:szCs w:val="26"/>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(十)科研项目资金管理</w:t>
      </w: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ind w:firstLine="800" w:firstLineChars="200"/>
        <w:jc w:val="center"/>
        <w:rPr>
          <w:rFonts w:ascii="方正小标宋简体" w:hAnsi="方正仿宋简体" w:eastAsia="方正小标宋简体" w:cs="方正仿宋简体"/>
          <w:sz w:val="40"/>
          <w:szCs w:val="40"/>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省委办公厅省政府办公厅印发《关于完善财政科研项目资金管理政策的实施意见》的通知</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鲁办发（2016）71号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近日,省委办公厅、省政府办公厅印发了《关于完善财政科研项目资金管理政策的实施意见》,并发出通知,要求各地各部门贯彻执行。</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《关于完善财政科研项目资金管理政策的实施意见》全文如下: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为认真贯彻落实《中共中央办公厅、国务院办公厅印发〈关于进一步完善中央财政科研项目资金管理等政策的若干意见〉的通知》精神,完善财政科研项目资金管理政策,现结合我省实际,提出如下实施意见。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一、总体要求和基本原则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(一)总体要求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全面贯彻党的十八大和十八届三中、四中、五中、六中全会及全国科技创新大会精神,深入贯彻习近平总书记系列重要讲话精神,认真落实省委、省政府关于深化科技体制改革加快创新发展的战略部署,进一步推进简政放权、放管结合、优化服务,改革和创新科研项目资金使用和管理方式,充分激发广大科研人员的积极性、创造性,加快形成充满活力的科技管理和运行机制,为我省加快实施创新驱动发展战略提供有力保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(二)基本原则</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坚持以人为本。以调动科研人员积极性和创造性为出发点和落脚点,强化激励机制,加大激励力度,激发创新创造活力。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坚持遵循规律。按照科研活动规律和财政预算管理要求,完善管理政策,优化管理流程,改进管理方式,适应科研活动实际需要。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坚持“放管服”结合。进一步简政放权、放管结合、优化服务,赋予高等院校、科研院所更大自主权,为科研人员潜心研究营造良好环境。同时,加强事中事后监管,严肃查处违纪违法问题。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坚持政策落实落地。细化实化政策规定,加强督查,狠抓落实,打通政策执行中的“堵点”,增强科研人员改革的成就感和获得感。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二、改进科研项目资金管理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简化项目预算编制。根据科研活动规律和特点,改进预算编制方法,对符合条件的科研项目,可实行部门预算批复前资金预拨。简化预算编制科目,合并会议费、差旅费、国际合作与交流费科目,由科研人员结合科研活动实际需要编制预算并按规定统筹安排使用,其中不超过直接费用10%的,不需提供预算测算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(二)下放预算调剂权限。在项目总预算不变的情况下,直接费用中的材料费、测试化验加工费、燃料动力费、出版/文献/信息传播/知识产权事务费及其他支出的预算调剂由项目承担单位负责。</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改变项目资金支付方式。科技部门要做好项目立项和预算执行的衔接,会同财政部门及时批复项目和预算。取消科研项目资金财政直接支付管理方式,实行财政授权支付。项目主管部门和单位结合项目实施和资金使用进度,及时办理资金支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改进项目结转结余资金留用处理方式。项目实施期间,年度剩余资金可结转下一年度继续使用。项目完成任务目标并通过验收后,结余资金按规定留归项目承担单位继续使用,在2年内由项目承担单位统筹安排用于科研活动的直接支出；2年后仍未使用完的,按规定收回。</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扩大劳务费开支范围。劳务费预算不设比例限制,由项目承担单位和科研人员据实编制。参与项目研究的研究生、博士后、访问学者以及项目聘用的研究人员、科研辅助人员等的劳务费,均可在项目经费中开支。项目聘用人员劳务费开支标准,可根据当地科学研究、技术服务业从业人员平均工资水平和其在项目研究中承担的工作任务确定,其社会保险补助纳入劳务费科目列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(六)提高间接费用比重。间接费用核定比例可以提高到不超过直接费用扣除设备购置费的一定比例:500万元以下的部分为20%,500万元至1000万元的部分为15%,1000万元以上的部分为13%。</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取消绩效支出比例限制。加大对科研人员的激励力度,取消绩效支出占间接费用比例限制。项目承担单位在统筹安排间接费用时,应处理好合理分摊间接成本和对科研人员激励的关系,绩效支出安排与科研人员在项目工作中的实际贡献挂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八)自主规范管理横向经费。项目承担单位以接受委托、利用社会资金开展技术攻关、提供科技服务等市场委托方式取得的横向经费,签订委托合同,纳入单位财务统一管理,由项目承担单位按照委托方要求或合同约定管理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三、赋予高等院校、科研院所更大自主权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下放差旅费、会议费、咨询费管理权限。高等院校、科研院所可根据教学、科研等活动实际需要,按照精简高效、厉行节约的原则,研究制定差旅费、会议费、咨询费管理办法,合理确定教学科研人员乘坐交通工具等级和住宿费标准,会议次数、天数、人数和会议费开支范围、标准,以及咨询费开支标准。对于难以取得住宿费发票的,在确保真实性的前提下,据实报销城市间交通费,并按规定标准发放伙食补助费和市内交通费。对于因工作需要,邀请国内外专家、学者和有关人员参加会议,确需负担的城市间交通费、国际旅费,可由主办单位在会议费等费用中报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对教学科研人员因公临时出国实行区别管理。高等院校、科研院所教学科研人员因公临时出国开展教育教学活动、科学研究、学术访问、出席重要国际学术会议以及执行国际学术组织履职任务等学术交流合作任务,单位与个人的出国批次数、团组人数、在外停留天数根据实际需要安排。教学科研人员出国开展学术交流合作年度计划由各高等院校、科研院所负责管理,并按外事审批权限报备,不列入国家工作人员因公临时出国批次限量管理范围。对科研经费中列支的国际学术交流费用管理区别于一般出国经费,可根据预算据实安排。</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简化科研仪器设备政府采购管理。高等院校、科研院所可自行采购科研仪器设备,自行选择科研仪器设备评审专家。在政府采购预算内,高等院校、科研院所可根据需要自主调整采购项目。采购进口仪器设备由审批制改为备案制管理,落实进口科研教学用品免税政策。项目承担单位应制定科研仪器设备采购管理规范,切实做到公开透明、便捷高效、可追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扩大基本建设项目自主权。对于利用自有资金、不申请政府投资的科研基本建设项目,由高等院校、科研院所自主决策,报投资主管部门备案,不再进行审批。高等院校、科研院所主管部门应指导高等院校、科研院所编制五年建设规划,对列入规划的基本建设项目不再审批项目建议书。简化基本建设项目城乡规划、用地以及环评、能评等审批手续,缩短审批周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鼓励科技成果转移转化。落实高等院校、科研院所科技成果转化收益自主处置有关政策。对高等院校、科研院所建立的科技成果转移转化机构,各级政府应给予政策和资金支持。鼓励高等院校、科研院所对科研仪器设备购置、科技成果转移转化开展社会融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四、提升科研项目资金管理服务水平</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健全政府科技决策工作机制。完善科技工作重大问题沟通机制,科技部门要加强科技发展优先领域、重点任务、重大项目等方面的统筹协调。建设高水平科技智库,健全由技术专家、企业家、科研人员和政府部门共同参与的科技决策及论证机制,提升重大科技决策的科学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拓展财政科研经费投入渠道。发挥财政政策的杠杆效应和导向作用,引导民间资本开展科技创新创业。积极推广政府和社会资本合作(PPP)、科技贷款风险补偿等模式在科技领域的应用。加大政府股权引导基金支持科技创新力度,推动更多具有重大价值的科技成果转化应用。创新自然科学基金管理机制,通过接受社会捐赠、与社会机构共同设立联合基金等方式,拓宽基础研究投入渠道。</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优化财政科技资金投入结构与方式。对需要长期投入的基础研究、原始创新和公益性科技事业以及共性关键技术研究,注重定向委托和竞争性选择相结合,以无偿资助方式给予持续稳定支持。对市场导向明确的技术创新项目,注重发挥市场配置技术创新资源的导向作用,综合运用股权投资、风险补偿、贷款贴息等资助方式予以支持。对符合条件的科研项目,鼓励通过自主选题,开展前瞻性、储备性研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创新财务服务方式。建立健全科研财务助理制度,为科研人员在项目预算编制和调剂、经费支出、财务决算和验收等方面提供专业化服务。聘请科研财务助理所需费用,可由项目承担单位根据情况通过科研项目资金等渠道解决。充分利用信息化手段,建立单位内部科研、财务部门和项目负责人共享的信息平台,提高科研管理效率。制定符合科研实际需要的内部报销规定,切实解决野外考察、心理测试等科研活动中无法取得发票或财政性票据,以及邀请外国专家来华参加学术交流发生费用等报销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强化项目法人责任。项目承担单位是科研项目实施和科研经费管理使用的责任主体,应切实履行在项目申请、组织实施、验收和资金使用等方面的管理职责,强化自我约束和自我规范,确保接得住、管得好。加强预算审核把关,规范财务支出行为,完善内部风险防控机制,强化项目绩效目标管理和资金使用绩效评价,保障资金使用安全规范有效。落实科技报告制度,按规定及时向项目主管部门提交科技报告。实行内部公开制度,主动公开项目预算、预算调剂、资金使用(重点是间接费用、外拨资金、结余资金使用)、研究成果等情况,让项目单位和科研人员取得放心、用得安心。</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加强督查指导。财政部门、科技部门要对本意见贯彻落实情况适时组织督促检查,并将督查结果纳入信用管理,与间接费用核定、结余资金留用等挂钩。科技部门、项目主管部门要加快清理规范与科研项目有关的各种检查评审,推进检查结果共享,减少检查数量,避免重复检查、多头检查、过度检查。审计机关要依法开展对政策措施落实情况和科研项目资金的审计监督。对发现的违规违纪违法问题,有关部门要按照有关规定严肃查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本意见发布之日起3个月内,项目主管部门应制定出台相关实施方案,并督促指导所属单位完善内部管理。高等院校、科研院所应制定出台差旅费、会议费、咨询费等相关内部管理制度,项目承担单位应制定或修订科研项目资金内部管理制度。</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省财政厅、省社科类科研项目主管部门要根据中央级社科类科研项目资金管理办法规定,结合社会科学研究的规律和特点,参照本意见另行制定我省社科类科研项目资金管理办法。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各地要结合实际,加快推进科研项目资金管理改革等各项工作。</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此前有关文件规定与本意见不一致的,以本意见为准。</w:t>
      </w:r>
    </w:p>
    <w:p>
      <w:pPr>
        <w:spacing w:line="400" w:lineRule="exact"/>
        <w:ind w:firstLine="520" w:firstLineChars="200"/>
        <w:jc w:val="left"/>
        <w:rPr>
          <w:rFonts w:ascii="方正仿宋简体" w:hAnsi="方正仿宋简体" w:eastAsia="方正仿宋简体" w:cs="方正仿宋简体"/>
          <w:sz w:val="26"/>
          <w:szCs w:val="26"/>
        </w:rPr>
      </w:pPr>
    </w:p>
    <w:p>
      <w:pPr>
        <w:spacing w:line="400" w:lineRule="exact"/>
        <w:ind w:firstLine="640" w:firstLineChars="200"/>
        <w:jc w:val="center"/>
        <w:rPr>
          <w:rFonts w:ascii="方正小标宋简体" w:eastAsia="方正小标宋简体"/>
          <w:b/>
          <w:sz w:val="32"/>
          <w:szCs w:val="21"/>
        </w:rPr>
      </w:pPr>
      <w:r>
        <w:rPr>
          <w:rFonts w:hint="eastAsia" w:ascii="方正小标宋简体" w:eastAsia="方正小标宋简体"/>
          <w:b/>
          <w:sz w:val="32"/>
          <w:szCs w:val="21"/>
        </w:rPr>
        <w:t>中办 国办 《关于进一步完善中央财政科研项目资金管理等政策的若干意见》</w:t>
      </w:r>
    </w:p>
    <w:p>
      <w:pPr>
        <w:widowControl/>
        <w:shd w:val="clear" w:color="auto" w:fill="FFFFFF"/>
        <w:spacing w:line="400" w:lineRule="exact"/>
        <w:jc w:val="center"/>
        <w:rPr>
          <w:rFonts w:ascii="黑体" w:hAnsi="黑体" w:eastAsia="黑体" w:cs="宋体"/>
          <w:color w:val="4A4A4A"/>
          <w:sz w:val="30"/>
          <w:szCs w:val="30"/>
        </w:rPr>
      </w:pPr>
      <w:r>
        <w:rPr>
          <w:rFonts w:hint="eastAsia" w:ascii="黑体" w:hAnsi="黑体" w:eastAsia="黑体" w:cs="宋体"/>
          <w:color w:val="4A4A4A"/>
          <w:sz w:val="30"/>
          <w:szCs w:val="30"/>
        </w:rPr>
        <w:t>中办发【2016】50号</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近日，中共中央办公厅、国务院办公厅印发了《关于进一步完善中央财政科研项目资金管理等政策的若干意见》，并发出通知，要求各地区各部门结合实际认真贯彻落实。</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《关于进一步完善中央财政科研项目资金管理等政策的若干意见》全文如下。</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中共中央、国务院关于深化体制机制改革加快实施创新驱动发展战略的若干意见》和《国务院关于改进加强中央财政科研项目和资金管理的若干意见》印发以来，有力激发了创新创造活力，促进了科技事业发展，但也存在一些改革措施落实不到位、科研项目资金管理不够完善等问题。为贯彻落实中央关于深化改革创新、形成充满活力的科技管理和运行机制的要求，进一步完善中央财政科研项目资金管理等政策，现提出以下意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一、总体要求</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全面贯彻落实党的十八大和十八届三中、四中、五中全会及全国科技创新大会精神，以邓小平理论、“三个代表”重要思想、科学发展观为指导，深入学习贯彻习近平总书记系列重要讲话精神，按照党中央、国务院决策部署，牢固树立和贯彻落实创新、协调、绿色、开放、共享的发展理念，深入实施创新驱动发展战略，促进大众创业、万众创新，进一步推进简政放权、放管结合、优化服务，改革和创新科研经费使用和管理方式，促进形成充满活力的科技管理和运行机制，以深化改革更好激发广大科研人员积极性。</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——坚持以人为本。以调动科研人员积极性和创造性为出发点和落脚点，强化激励机制，加大激励力度，激发创新创造活力。</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——坚持遵循规律。按照科研活动规律和财政预算管理要求，完善管理政策，优化管理流程，改进管理方式，适应科研活动实际需要。</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放管服”结合。进一步简政放权、放管结合、优化服务，扩大高校、科研院所在科研项目资金、差旅会议、基本建设、科研仪器设备采购等方面的管理权限，为科研人员潜心研究营造良好环境。同时，加强事中事后监管，严肃查处违法违纪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——坚持政策落实落地。细化实化政策规定，加强督查，狠抓落实，打通政策执行中的“堵点”，增强科研人员改革的成就感和获得感。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二、改进中央财政科研项目资金管理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简化预算编制，下放预算调剂权限。根据科研活动规律和特点，改进预算编制方法，实行部门预算批复前项目资金预拨制度，保证科研人员及时使用项目资金。下放预算调剂权限，在项目总预算不变的情况下，将直接费用中的材料费、测试化验加工费、燃料动力费、出版／文献／信息传播／知识产权事务费及其他支出预算调剂权下放给项目承担单位。简化预算编制科目，合并会议费、差旅费、国际合作与交流费科目，由科研人员结合科研活动实际需要编制预算并按规定统筹安排使用，其中不超过直接费用10%的，不需要提供预算测算依据。</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提高间接费用比重，加大绩效激励力度。中央财政科技计划（专项、基金等）中实行公开竞争方式的研发类项目，均要设立间接费用，核定比例可以提高到不超过直接费用扣除设备购置费的一定比例：500万元以下的部分为20%，500万元至1000万元的部分为15%，1000万元以上的部分为13%。加大对科研人员的激励力度，取消绩效支出比例限制。项目承担单位在统筹安排间接费用时，要处理好合理分摊间接成本和对科研人员激励的关系，绩效支出安排与科研人员在项目工作中的实际贡献挂钩。</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明确劳务费开支范围，不设比例限制。参与项目研究的研究生、博士后、访问学者以及项目聘用的研究人员、科研辅助人员等，均可开支劳务费。项目聘用人员的劳务费开支标准，参照当地科学研究和技术服务业从业人员平均工资水平，根据其在项目研究中承担的工作任务确定，其社会保险补助纳入劳务费科目列支。劳务费预算不设比例限制，由项目承担单位和科研人员据实编制。</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改进结转结余资金留用处理方式。项目实施期间，年度剩余资金可结转下一年度继续使用。项目完成任务目标并通过验收后，结余资金按规定留归项目承担单位使用，在2年内由项目承担单位统筹安排用于科研活动的直接支出；2年后未使用完的，按规定收回。</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（五）自主规范管理横向经费。项目承担单位以市场委托方式取得的横向经费，纳入单位财务统一管理，由项目承担单位按照委托方要求或合同约定管理使用。</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三、完善中央高校、科研院所差旅会议管理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改进中央高校、科研院所教学科研人员差旅费管理。中央高校、科研院所可根据教学、科研、管理工作实际需要，按照精简高效、厉行节约的原则，研究制定差旅费管理办法，合理确定教学科研人员乘坐交通工具等级和住宿费标准。对于难以取得住宿费发票的，中央高校、科研院所在确保真实性的前提下，据实报销城市间交通费，并按规定标准发放伙食补助费和市内交通费。</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完善中央高校、科研院所会议管理。中央高校、科研院所因教学、科研需要举办的业务性会议（如学术会议、研讨会、评审会、座谈会、答辩会等），会议次数、天数、人数以及会议费开支范围、标准等，由中央高校、科研院所按照实事求是、精简高效、厉行节约的原则确定。会议代表参加会议所发生的城市间交通费，原则上按差旅费管理规定由所在单位报销；因工作需要，邀请国内外专家、学者和有关人员参加会议，对确需负担的城市间交通费、国际旅费，可由主办单位在会议费等费用中报销。</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四、完善中央高校、科研院所科研仪器设备采购管理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改进中央高校、科研院所政府采购管理。中央高校、科研院所可自行采购科研仪器设备，自行选择科研仪器设备评审专家。财政部要简化政府采购项目预算调剂和变更政府采购方式审批流程。中央高校、科研院所要切实做好设备采购的监督管理，做到全程公开、透明、可追溯。</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（二）优化进口仪器设备采购服务。对中央高校、科研院所采购进口仪器设备实行备案制管理。继续落实进口科研教学用品免税政策。</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五、完善中央高校、科研院所基本建设项目管理</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扩大中央高校、科研院所基本建设项目管理权限。对中央高校、科研院所利用自有资金、不申请政府投资建设的项目，由中央高校、科研院所自主决策，报主管部门备案，不再进行审批。国家发展改革委和中央高校、科研院所主管部门要加强对中央高校、科研院所基本建设项目的指导和监督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简化中央高校、科研院所基本建设项目审批程序。中央高校、科研院所主管部门要指导中央高校、科研院所编制五年建设规划，对列入规划的基本建设项目不再审批项目建议书。简化中央高校、科研院所基本建设项目城乡规划、用地以及环评、能评等审批手续，缩短审批周期。</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六、规范管理，改进服务</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强化法人责任，规范资金管理。项目承担单位要认真落实国家有关政策规定，按照权责一致的要求，强化自我约束和自我规范，确保接得住、管得好。制定内部管理办法，落实项目预算调剂、间接费用统筹使用、劳务费分配管理、结余资金使用等管理权限；加强预算审核把关，规范财务支出行为，完善内部风险防控机制，强化资金使用绩效评价，保障资金使用安全规范有效；实行内部公开制度，主动公开项目预算、预算调剂、资金使用（重点是间接费用、外拨资金、结余资金使用）、研究成果等情况。</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加强统筹协调，精简检查评审。科技部、项目主管部门、财政部要加强对科研项目资金监督的制度规范、年度计划、结果运用等的统筹协调，建立职责明确、分工负责的协同工作机制。科技部、项目主管部门要加快清理规范委托中介机构对科研项目开展的各种检查评审，加强对前期已经开展相关检查结果的使用，推进检查结果共享，减少检查数量，改进检查方式，避免重复检查、多头检查、过度检查。</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三）创新服务方式，让科研人员潜心从事科学研究。项目承担单位要建立健全科研财务助理制度，为科研人员在项目预算编制和调剂、经费支出、财务决算和验收等方面提供专业化服务，科研财务助理所需费用可由项目承担单位根据情况通过科研项目资金等渠道解决。充分利用信息化手段，建立健全单位内部科研、财务部门和项目负责人共享的信息平台，提高科研管理效率和便利化程度。制定符合科研实际需要的内部报销规定，切实解决野外考察、心理测试等科研活动中无法取得发票或财政性票据，以及邀请外国专家来华参加学术交流发生费用等的报销问题。</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七、加强制度建设和工作督查，确保政策措施落地见效</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一）尽快出台操作性强的实施细则。项目主管部门要完善预算编制指南，指导项目承担单位和科研人员科学合理编制项目预算；制定预算评估评审工作细则，优化评估程序和方法，规范评估行为，建立健全与项目申请者及时沟通反馈机制；制定财务验收工作细则，规范委托中介机构开展的财务检查。2016年9月1日前，中央高校、科研院所要制定出台差旅费、会议费内部管理办法，其主管部门要加强工作指导和统筹；2016年年底前，项目主管部门要制定出台相关实施细则，项目承担单位要制定或修订科研项目资金内部管理办法和报销规定。以后年度承担科研项目的单位要于当年制定出台相关管理办法和规定。</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二）加强对政策措施落实情况的督查指导。财政部、科技部要适时组织开展对项目承担单位科研项目资金等管理权限落实、内部管理办法制定、创新服务方式、内控机制建设、相关事项内部公开等情况的督查，对督查情况以适当方式进行通报，并将督查结果纳入信用管理，与间接费用核定、结余资金留用等挂钩。审计机关要依法开展对政策措施落实情况和财政资金的审计监督。项目主管部门要督促指导所属单位完善内部管理，确保国家政策规定落到实处。</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财政部、中央级社科类科研项目主管部门要结合社会科学研究的规律和特点，参照本意见尽快修订中央级社科类科研项目资金管理办法。</w:t>
      </w:r>
    </w:p>
    <w:p>
      <w:pPr>
        <w:spacing w:line="400" w:lineRule="exact"/>
        <w:ind w:firstLine="520" w:firstLineChars="200"/>
        <w:jc w:val="left"/>
        <w:rPr>
          <w:rFonts w:ascii="方正仿宋简体" w:hAnsi="方正仿宋简体" w:eastAsia="方正仿宋简体" w:cs="方正仿宋简体"/>
          <w:sz w:val="26"/>
          <w:szCs w:val="26"/>
        </w:rPr>
      </w:pPr>
      <w:r>
        <w:rPr>
          <w:rFonts w:hint="eastAsia" w:ascii="方正仿宋简体" w:hAnsi="方正仿宋简体" w:eastAsia="方正仿宋简体" w:cs="方正仿宋简体"/>
          <w:sz w:val="26"/>
          <w:szCs w:val="26"/>
        </w:rPr>
        <w:t>各地区要参照本意见精神，结合实际，加快推进科研项目资金管理改革等各项工作。</w:t>
      </w:r>
    </w:p>
    <w:p>
      <w:pPr>
        <w:spacing w:line="400" w:lineRule="exact"/>
        <w:ind w:firstLine="520" w:firstLineChars="200"/>
        <w:jc w:val="left"/>
        <w:rPr>
          <w:rFonts w:ascii="方正仿宋简体" w:hAnsi="方正仿宋简体" w:eastAsia="方正仿宋简体" w:cs="方正仿宋简体"/>
          <w:sz w:val="26"/>
          <w:szCs w:val="26"/>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(十一)资产报表</w:t>
      </w: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pStyle w:val="3"/>
        <w:shd w:val="clear" w:color="auto" w:fill="FFFFFF"/>
        <w:spacing w:before="0" w:beforeAutospacing="0" w:after="0" w:afterAutospacing="0" w:line="400" w:lineRule="exact"/>
        <w:jc w:val="center"/>
        <w:rPr>
          <w:rFonts w:ascii="微软雅黑" w:hAnsi="微软雅黑" w:eastAsia="微软雅黑"/>
          <w:color w:val="333333"/>
        </w:rPr>
      </w:pPr>
      <w:r>
        <w:rPr>
          <w:rFonts w:hint="eastAsia" w:ascii="微软雅黑" w:hAnsi="微软雅黑" w:eastAsia="微软雅黑"/>
          <w:color w:val="333333"/>
        </w:rPr>
        <w:t>关于印发高等学校执行《政府会计制度——行政事业单位会计科目和报表》的补充规定和衔接规定的通知</w:t>
      </w:r>
    </w:p>
    <w:p>
      <w:pPr>
        <w:pStyle w:val="12"/>
        <w:shd w:val="clear" w:color="auto" w:fill="FFFFFF"/>
        <w:spacing w:before="0" w:beforeAutospacing="0" w:after="0" w:afterAutospacing="0" w:line="400" w:lineRule="exact"/>
        <w:jc w:val="center"/>
        <w:rPr>
          <w:rFonts w:ascii="Arial" w:hAnsi="Arial" w:eastAsia="微软雅黑" w:cs="Arial"/>
          <w:color w:val="333333"/>
        </w:rPr>
      </w:pPr>
      <w:r>
        <w:rPr>
          <w:rFonts w:ascii="Arial" w:hAnsi="Arial" w:eastAsia="微软雅黑" w:cs="Arial"/>
          <w:color w:val="333333"/>
        </w:rPr>
        <w:t>财会〔2018〕19号</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教育部，各省、自治区、直辖市、计划单列市财政厅（局），新疆生产建设兵团财政局，有关单位：</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政府会计制度——行政事业单位会计科目和报表》（财会〔2017〕25号）自2019年1月1日起施行。为了确保新制度在高等学校的有效贯彻实施，我部制定了《关于高等学校执行&lt;政府会计制度——行政事业单位会计科目和报表&gt;的补充规定》和《关于高等学校执行&lt;政府会计制度——行政事业单位会计科目和报表&gt;的衔接规定》，现印发给你们，请遵照执行。</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执行中有何问题，请及时反馈我部。</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附件：</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1.关于高等学校执行《政府会计制度——行政事业单位会计科目和报表》的补充规定</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2.关于高等学校执行《政府会计制度——行政事业单位会计科目和报表》的衔接规定</w:t>
      </w:r>
    </w:p>
    <w:p>
      <w:pPr>
        <w:pStyle w:val="12"/>
        <w:shd w:val="clear" w:color="auto" w:fill="FFFFFF"/>
        <w:spacing w:before="0" w:beforeAutospacing="0" w:after="0" w:afterAutospacing="0" w:line="400" w:lineRule="exact"/>
        <w:rPr>
          <w:rFonts w:ascii="Arial" w:hAnsi="Arial" w:eastAsia="微软雅黑" w:cs="Arial"/>
          <w:color w:val="333333"/>
        </w:rPr>
      </w:pPr>
      <w:r>
        <w:rPr>
          <w:rFonts w:ascii="Arial" w:hAnsi="Arial" w:eastAsia="微软雅黑" w:cs="Arial"/>
          <w:color w:val="333333"/>
        </w:rPr>
        <w:t> </w:t>
      </w:r>
    </w:p>
    <w:p>
      <w:pPr>
        <w:pStyle w:val="12"/>
        <w:shd w:val="clear" w:color="auto" w:fill="FFFFFF"/>
        <w:spacing w:before="0" w:beforeAutospacing="0" w:after="0" w:afterAutospacing="0" w:line="400" w:lineRule="exact"/>
        <w:ind w:right="480"/>
        <w:jc w:val="right"/>
        <w:rPr>
          <w:rFonts w:ascii="Arial" w:hAnsi="Arial" w:eastAsia="微软雅黑" w:cs="Arial"/>
          <w:color w:val="333333"/>
        </w:rPr>
      </w:pPr>
      <w:r>
        <w:rPr>
          <w:rFonts w:ascii="Arial" w:hAnsi="Arial" w:eastAsia="微软雅黑" w:cs="Arial"/>
          <w:color w:val="333333"/>
        </w:rPr>
        <w:t>财 政 部</w:t>
      </w:r>
    </w:p>
    <w:p>
      <w:pPr>
        <w:pStyle w:val="12"/>
        <w:shd w:val="clear" w:color="auto" w:fill="FFFFFF"/>
        <w:spacing w:before="0" w:beforeAutospacing="0" w:after="0" w:afterAutospacing="0" w:line="400" w:lineRule="exact"/>
        <w:jc w:val="right"/>
        <w:rPr>
          <w:rFonts w:ascii="Arial" w:hAnsi="Arial" w:eastAsia="微软雅黑" w:cs="Arial"/>
          <w:color w:val="333333"/>
        </w:rPr>
      </w:pPr>
      <w:r>
        <w:rPr>
          <w:rFonts w:ascii="Arial" w:hAnsi="Arial" w:eastAsia="微软雅黑" w:cs="Arial"/>
          <w:color w:val="333333"/>
        </w:rPr>
        <w:t>　　2018年8月14日</w:t>
      </w:r>
    </w:p>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p>
    <w:p>
      <w:pPr>
        <w:spacing w:line="360" w:lineRule="auto"/>
        <w:jc w:val="left"/>
        <w:rPr>
          <w:rFonts w:ascii="仿宋_GB2312" w:hAnsi="华文中宋" w:eastAsia="仿宋_GB2312" w:cs="Times New Roman"/>
          <w:sz w:val="32"/>
          <w:szCs w:val="32"/>
        </w:rPr>
      </w:pPr>
      <w:r>
        <w:rPr>
          <w:rFonts w:hint="eastAsia" w:ascii="仿宋_GB2312" w:hAnsi="华文中宋" w:eastAsia="仿宋_GB2312" w:cs="Times New Roman"/>
          <w:sz w:val="32"/>
          <w:szCs w:val="32"/>
        </w:rPr>
        <w:t>附件1：</w:t>
      </w:r>
    </w:p>
    <w:p>
      <w:pPr>
        <w:spacing w:line="360" w:lineRule="auto"/>
        <w:jc w:val="center"/>
        <w:rPr>
          <w:rFonts w:ascii="Times New Roman" w:hAnsi="Times New Roman" w:eastAsia="华文中宋" w:cs="Times New Roman"/>
          <w:sz w:val="36"/>
          <w:szCs w:val="36"/>
        </w:rPr>
      </w:pPr>
      <w:r>
        <w:rPr>
          <w:rFonts w:ascii="Times New Roman" w:hAnsi="华文中宋" w:eastAsia="华文中宋" w:cs="Times New Roman"/>
          <w:sz w:val="36"/>
          <w:szCs w:val="36"/>
        </w:rPr>
        <w:t>关于高等学校执行《政府会计制度</w:t>
      </w:r>
      <w:r>
        <w:rPr>
          <w:rFonts w:ascii="Times New Roman" w:hAnsi="Times New Roman" w:eastAsia="华文中宋" w:cs="Times New Roman"/>
          <w:sz w:val="36"/>
          <w:szCs w:val="36"/>
        </w:rPr>
        <w:t>——</w:t>
      </w:r>
      <w:r>
        <w:rPr>
          <w:rFonts w:ascii="Times New Roman" w:hAnsi="华文中宋" w:eastAsia="华文中宋" w:cs="Times New Roman"/>
          <w:sz w:val="36"/>
          <w:szCs w:val="36"/>
        </w:rPr>
        <w:t>行政事业单位会计科目和报表》的补充规定</w:t>
      </w:r>
    </w:p>
    <w:p>
      <w:pPr>
        <w:spacing w:line="360" w:lineRule="auto"/>
        <w:rPr>
          <w:rFonts w:ascii="Times New Roman" w:hAnsi="Times New Roman" w:eastAsia="仿宋_GB2312" w:cs="Times New Roman"/>
          <w:b/>
          <w:sz w:val="32"/>
          <w:szCs w:val="32"/>
        </w:rPr>
      </w:pPr>
      <w:r>
        <w:rPr>
          <w:rFonts w:ascii="Times New Roman" w:hAnsi="Times New Roman" w:eastAsia="仿宋_GB2312" w:cs="Times New Roman"/>
          <w:b/>
          <w:sz w:val="32"/>
          <w:szCs w:val="32"/>
        </w:rPr>
        <w:t xml:space="preserve">    </w:t>
      </w:r>
    </w:p>
    <w:p>
      <w:pPr>
        <w:spacing w:line="360" w:lineRule="auto"/>
        <w:ind w:firstLine="640" w:firstLineChars="200"/>
        <w:rPr>
          <w:rFonts w:ascii="Times New Roman" w:eastAsia="仿宋_GB2312" w:cs="Times New Roman"/>
          <w:sz w:val="32"/>
          <w:szCs w:val="32"/>
        </w:rPr>
      </w:pPr>
      <w:r>
        <w:rPr>
          <w:rFonts w:ascii="Times New Roman" w:hAnsi="Times New Roman" w:eastAsia="仿宋_GB2312" w:cs="Times New Roman"/>
          <w:kern w:val="0"/>
          <w:sz w:val="32"/>
          <w:szCs w:val="32"/>
        </w:rPr>
        <w:t>根据《政府会计准则——基本准则》，</w:t>
      </w:r>
      <w:r>
        <w:rPr>
          <w:rFonts w:ascii="Times New Roman" w:eastAsia="仿宋_GB2312" w:cs="Times New Roman"/>
          <w:sz w:val="32"/>
          <w:szCs w:val="32"/>
        </w:rPr>
        <w:t>结合行业实际情况，</w:t>
      </w:r>
      <w:r>
        <w:rPr>
          <w:rFonts w:ascii="Times New Roman" w:hAnsi="Times New Roman" w:eastAsia="仿宋_GB2312" w:cs="Times New Roman"/>
          <w:kern w:val="0"/>
          <w:sz w:val="32"/>
          <w:szCs w:val="32"/>
        </w:rPr>
        <w:t>现就高等学校</w:t>
      </w:r>
      <w:r>
        <w:rPr>
          <w:rStyle w:val="20"/>
          <w:rFonts w:ascii="Times New Roman" w:hAnsi="Times New Roman" w:eastAsia="仿宋_GB2312" w:cs="Times New Roman"/>
          <w:kern w:val="0"/>
          <w:sz w:val="32"/>
          <w:szCs w:val="32"/>
        </w:rPr>
        <w:footnoteReference w:id="0"/>
      </w:r>
      <w:r>
        <w:rPr>
          <w:rFonts w:ascii="Times New Roman" w:eastAsia="仿宋_GB2312" w:cs="Times New Roman"/>
          <w:sz w:val="32"/>
          <w:szCs w:val="32"/>
        </w:rPr>
        <w:t>执行《政府会计制度</w:t>
      </w:r>
      <w:r>
        <w:rPr>
          <w:rFonts w:ascii="Times New Roman" w:hAnsi="Times New Roman" w:eastAsia="仿宋_GB2312" w:cs="Times New Roman"/>
          <w:sz w:val="32"/>
          <w:szCs w:val="32"/>
        </w:rPr>
        <w:t>——</w:t>
      </w:r>
      <w:r>
        <w:rPr>
          <w:rFonts w:ascii="Times New Roman" w:eastAsia="仿宋_GB2312" w:cs="Times New Roman"/>
          <w:sz w:val="32"/>
          <w:szCs w:val="32"/>
        </w:rPr>
        <w:t>行政事业单位会计科目和报表》（以下简称新制度）做出如下补充规定：</w:t>
      </w:r>
    </w:p>
    <w:p>
      <w:pPr>
        <w:spacing w:line="360" w:lineRule="auto"/>
        <w:ind w:firstLine="640" w:firstLineChars="200"/>
        <w:rPr>
          <w:rFonts w:ascii="黑体" w:hAnsi="黑体" w:eastAsia="黑体" w:cs="Times New Roman"/>
          <w:sz w:val="32"/>
          <w:szCs w:val="32"/>
        </w:rPr>
      </w:pPr>
      <w:r>
        <w:rPr>
          <w:rFonts w:ascii="黑体" w:hAnsi="黑体" w:eastAsia="黑体" w:cs="Times New Roman"/>
          <w:sz w:val="32"/>
          <w:szCs w:val="32"/>
        </w:rPr>
        <w:t>一、</w:t>
      </w:r>
      <w:r>
        <w:rPr>
          <w:rFonts w:hint="eastAsia" w:ascii="黑体" w:hAnsi="黑体" w:eastAsia="黑体" w:cs="Times New Roman"/>
          <w:sz w:val="32"/>
          <w:szCs w:val="32"/>
        </w:rPr>
        <w:t>关于在新制度相关一级科目下设置明细科目</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（一）</w:t>
      </w:r>
      <w:r>
        <w:rPr>
          <w:rFonts w:ascii="Times New Roman" w:eastAsia="仿宋_GB2312" w:cs="Times New Roman"/>
          <w:sz w:val="32"/>
          <w:szCs w:val="32"/>
        </w:rPr>
        <w:t>高等学校应当在新制度规定的“4101事业收入”科目下设置“410101教育</w:t>
      </w:r>
      <w:r>
        <w:rPr>
          <w:rFonts w:hint="eastAsia" w:ascii="Times New Roman" w:eastAsia="仿宋_GB2312" w:cs="Times New Roman"/>
          <w:sz w:val="32"/>
          <w:szCs w:val="32"/>
        </w:rPr>
        <w:t>事业</w:t>
      </w:r>
      <w:r>
        <w:rPr>
          <w:rFonts w:ascii="Times New Roman" w:eastAsia="仿宋_GB2312" w:cs="Times New Roman"/>
          <w:sz w:val="32"/>
          <w:szCs w:val="32"/>
        </w:rPr>
        <w:t>收入”、“410102科研</w:t>
      </w:r>
      <w:r>
        <w:rPr>
          <w:rFonts w:hint="eastAsia" w:ascii="Times New Roman" w:eastAsia="仿宋_GB2312" w:cs="Times New Roman"/>
          <w:sz w:val="32"/>
          <w:szCs w:val="32"/>
        </w:rPr>
        <w:t>事业</w:t>
      </w:r>
      <w:r>
        <w:rPr>
          <w:rFonts w:ascii="Times New Roman" w:eastAsia="仿宋_GB2312" w:cs="Times New Roman"/>
          <w:sz w:val="32"/>
          <w:szCs w:val="32"/>
        </w:rPr>
        <w:t>收入”明细科目。</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1</w:t>
      </w:r>
      <w:r>
        <w:rPr>
          <w:rFonts w:hint="eastAsia" w:ascii="Times New Roman" w:eastAsia="仿宋_GB2312" w:cs="Times New Roman"/>
          <w:sz w:val="32"/>
          <w:szCs w:val="32"/>
        </w:rPr>
        <w:t>.</w:t>
      </w:r>
      <w:r>
        <w:rPr>
          <w:rFonts w:ascii="Times New Roman" w:hAnsi="Times New Roman" w:eastAsia="仿宋_GB2312" w:cs="Times New Roman"/>
          <w:sz w:val="32"/>
          <w:szCs w:val="32"/>
        </w:rPr>
        <w:t>“410101</w:t>
      </w:r>
      <w:r>
        <w:rPr>
          <w:rFonts w:ascii="Times New Roman" w:eastAsia="仿宋_GB2312" w:cs="Times New Roman"/>
          <w:sz w:val="32"/>
          <w:szCs w:val="32"/>
        </w:rPr>
        <w:t>教育</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科目核算高等学校开展教学活动及其辅助活动实现的收入。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“410102</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核算高等学校开展科研活动及其辅助活动实现的收入。</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（二）高等学校应当在新制度规定的</w:t>
      </w:r>
      <w:r>
        <w:rPr>
          <w:rFonts w:ascii="Times New Roman" w:hAnsi="Times New Roman" w:eastAsia="仿宋_GB2312" w:cs="Times New Roman"/>
          <w:sz w:val="32"/>
          <w:szCs w:val="32"/>
        </w:rPr>
        <w:t>“5001</w:t>
      </w:r>
      <w:r>
        <w:rPr>
          <w:rFonts w:ascii="Times New Roman" w:eastAsia="仿宋_GB2312" w:cs="Times New Roman"/>
          <w:sz w:val="32"/>
          <w:szCs w:val="32"/>
        </w:rPr>
        <w:t>业务活动费用</w:t>
      </w:r>
      <w:r>
        <w:rPr>
          <w:rFonts w:ascii="Times New Roman" w:hAnsi="Times New Roman" w:eastAsia="仿宋_GB2312" w:cs="Times New Roman"/>
          <w:sz w:val="32"/>
          <w:szCs w:val="32"/>
        </w:rPr>
        <w:t>”</w:t>
      </w:r>
      <w:r>
        <w:rPr>
          <w:rFonts w:ascii="Times New Roman" w:eastAsia="仿宋_GB2312" w:cs="Times New Roman"/>
          <w:sz w:val="32"/>
          <w:szCs w:val="32"/>
        </w:rPr>
        <w:t>科目下设置</w:t>
      </w:r>
      <w:r>
        <w:rPr>
          <w:rFonts w:ascii="Times New Roman" w:hAnsi="Times New Roman" w:eastAsia="仿宋_GB2312" w:cs="Times New Roman"/>
          <w:sz w:val="32"/>
          <w:szCs w:val="32"/>
        </w:rPr>
        <w:t>“500101</w:t>
      </w:r>
      <w:r>
        <w:rPr>
          <w:rFonts w:ascii="Times New Roman" w:eastAsia="仿宋_GB2312" w:cs="Times New Roman"/>
          <w:sz w:val="32"/>
          <w:szCs w:val="32"/>
        </w:rPr>
        <w:t>教育费用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“500102</w:t>
      </w:r>
      <w:r>
        <w:rPr>
          <w:rFonts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明细科目。</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1.“500101</w:t>
      </w:r>
      <w:r>
        <w:rPr>
          <w:rFonts w:ascii="Times New Roman" w:eastAsia="仿宋_GB2312" w:cs="Times New Roman"/>
          <w:sz w:val="32"/>
          <w:szCs w:val="32"/>
        </w:rPr>
        <w:t>教育费用</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科目核算高等学校开展教学及其辅助</w:t>
      </w:r>
      <w:r>
        <w:rPr>
          <w:rFonts w:hint="eastAsia" w:ascii="Times New Roman" w:hAnsi="Times New Roman" w:eastAsia="仿宋_GB2312" w:cs="Times New Roman"/>
          <w:kern w:val="0"/>
          <w:sz w:val="32"/>
          <w:szCs w:val="32"/>
        </w:rPr>
        <w:t>活动、学生事务等</w:t>
      </w:r>
      <w:r>
        <w:rPr>
          <w:rFonts w:ascii="Times New Roman" w:hAnsi="Times New Roman" w:eastAsia="仿宋_GB2312" w:cs="Times New Roman"/>
          <w:kern w:val="0"/>
          <w:sz w:val="32"/>
          <w:szCs w:val="32"/>
        </w:rPr>
        <w:t>活动所发生的</w:t>
      </w:r>
      <w:r>
        <w:rPr>
          <w:rFonts w:hint="eastAsia" w:ascii="Times New Roman" w:hAnsi="Times New Roman" w:eastAsia="仿宋_GB2312" w:cs="Times New Roman"/>
          <w:kern w:val="0"/>
          <w:sz w:val="32"/>
          <w:szCs w:val="32"/>
        </w:rPr>
        <w:t>，能够直接计入或采用一定方法计算后计入的</w:t>
      </w:r>
      <w:r>
        <w:rPr>
          <w:rFonts w:ascii="Times New Roman" w:hAnsi="Times New Roman" w:eastAsia="仿宋_GB2312" w:cs="Times New Roman"/>
          <w:kern w:val="0"/>
          <w:sz w:val="32"/>
          <w:szCs w:val="32"/>
        </w:rPr>
        <w:t>各项费用。</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“500102</w:t>
      </w:r>
      <w:r>
        <w:rPr>
          <w:rFonts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核算高等学校开展科研及其辅助活动所发生的</w:t>
      </w:r>
      <w:r>
        <w:rPr>
          <w:rFonts w:hint="eastAsia" w:ascii="Times New Roman" w:hAnsi="Times New Roman" w:eastAsia="仿宋_GB2312" w:cs="Times New Roman"/>
          <w:kern w:val="0"/>
          <w:sz w:val="32"/>
          <w:szCs w:val="32"/>
        </w:rPr>
        <w:t>，能够直接计入或采用一定方法计算后计入的</w:t>
      </w:r>
      <w:r>
        <w:rPr>
          <w:rFonts w:ascii="Times New Roman" w:hAnsi="Times New Roman" w:eastAsia="仿宋_GB2312" w:cs="Times New Roman"/>
          <w:kern w:val="0"/>
          <w:sz w:val="32"/>
          <w:szCs w:val="32"/>
        </w:rPr>
        <w:t>各项费用。</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（三）高等学校应当在新制度规定的</w:t>
      </w:r>
      <w:r>
        <w:rPr>
          <w:rFonts w:ascii="Times New Roman" w:hAnsi="Times New Roman" w:eastAsia="仿宋_GB2312" w:cs="Times New Roman"/>
          <w:sz w:val="32"/>
          <w:szCs w:val="32"/>
        </w:rPr>
        <w:t>“5101</w:t>
      </w:r>
      <w:r>
        <w:rPr>
          <w:rFonts w:ascii="Times New Roman" w:eastAsia="仿宋_GB2312" w:cs="Times New Roman"/>
          <w:sz w:val="32"/>
          <w:szCs w:val="32"/>
        </w:rPr>
        <w:t>单位管理费用</w:t>
      </w:r>
      <w:r>
        <w:rPr>
          <w:rFonts w:ascii="Times New Roman" w:hAnsi="Times New Roman" w:eastAsia="仿宋_GB2312" w:cs="Times New Roman"/>
          <w:sz w:val="32"/>
          <w:szCs w:val="32"/>
        </w:rPr>
        <w:t>”</w:t>
      </w:r>
      <w:r>
        <w:rPr>
          <w:rFonts w:ascii="Times New Roman" w:eastAsia="仿宋_GB2312" w:cs="Times New Roman"/>
          <w:sz w:val="32"/>
          <w:szCs w:val="32"/>
        </w:rPr>
        <w:t>科目下设置</w:t>
      </w:r>
      <w:r>
        <w:rPr>
          <w:rFonts w:ascii="Times New Roman" w:hAnsi="Times New Roman" w:eastAsia="仿宋_GB2312" w:cs="Times New Roman"/>
          <w:sz w:val="32"/>
          <w:szCs w:val="32"/>
        </w:rPr>
        <w:t>“510101</w:t>
      </w:r>
      <w:r>
        <w:rPr>
          <w:rFonts w:ascii="Times New Roman" w:eastAsia="仿宋_GB2312" w:cs="Times New Roman"/>
          <w:sz w:val="32"/>
          <w:szCs w:val="32"/>
        </w:rPr>
        <w:t>行政管理费用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010</w:t>
      </w:r>
      <w:r>
        <w:rPr>
          <w:rFonts w:hint="eastAsia" w:ascii="Times New Roman" w:hAnsi="Times New Roman" w:eastAsia="仿宋_GB2312" w:cs="Times New Roman"/>
          <w:sz w:val="32"/>
          <w:szCs w:val="32"/>
        </w:rPr>
        <w:t>2</w:t>
      </w:r>
      <w:r>
        <w:rPr>
          <w:rFonts w:ascii="Times New Roman" w:eastAsia="仿宋_GB2312" w:cs="Times New Roman"/>
          <w:sz w:val="32"/>
          <w:szCs w:val="32"/>
        </w:rPr>
        <w:t>后勤保障费用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“51010</w:t>
      </w:r>
      <w:r>
        <w:rPr>
          <w:rFonts w:hint="eastAsia" w:ascii="Times New Roman" w:hAnsi="Times New Roman" w:eastAsia="仿宋_GB2312" w:cs="Times New Roman"/>
          <w:sz w:val="32"/>
          <w:szCs w:val="32"/>
        </w:rPr>
        <w:t>3</w:t>
      </w:r>
      <w:r>
        <w:rPr>
          <w:rFonts w:ascii="Times New Roman" w:eastAsia="仿宋_GB2312" w:cs="Times New Roman"/>
          <w:sz w:val="32"/>
          <w:szCs w:val="32"/>
        </w:rPr>
        <w:t>离退休费用</w:t>
      </w:r>
      <w:r>
        <w:rPr>
          <w:rFonts w:ascii="Times New Roman" w:hAnsi="Times New Roman" w:eastAsia="仿宋_GB2312" w:cs="Times New Roman"/>
          <w:sz w:val="32"/>
          <w:szCs w:val="32"/>
        </w:rPr>
        <w:t>”</w:t>
      </w:r>
      <w:r>
        <w:rPr>
          <w:rFonts w:ascii="Times New Roman" w:eastAsia="仿宋_GB2312" w:cs="Times New Roman"/>
          <w:sz w:val="32"/>
          <w:szCs w:val="32"/>
        </w:rPr>
        <w:t>和</w:t>
      </w:r>
      <w:r>
        <w:rPr>
          <w:rFonts w:ascii="Times New Roman" w:hAnsi="Times New Roman" w:eastAsia="仿宋_GB2312" w:cs="Times New Roman"/>
          <w:sz w:val="32"/>
          <w:szCs w:val="32"/>
        </w:rPr>
        <w:t>“51010</w:t>
      </w:r>
      <w:r>
        <w:rPr>
          <w:rFonts w:hint="eastAsia" w:ascii="Times New Roman" w:hAnsi="Times New Roman" w:eastAsia="仿宋_GB2312" w:cs="Times New Roman"/>
          <w:sz w:val="32"/>
          <w:szCs w:val="32"/>
        </w:rPr>
        <w:t>9</w:t>
      </w:r>
      <w:r>
        <w:rPr>
          <w:rFonts w:ascii="Times New Roman" w:eastAsia="仿宋_GB2312" w:cs="Times New Roman"/>
          <w:sz w:val="32"/>
          <w:szCs w:val="32"/>
        </w:rPr>
        <w:t>单位统一负担的其他管理费用</w:t>
      </w:r>
      <w:r>
        <w:rPr>
          <w:rFonts w:ascii="Times New Roman" w:hAnsi="Times New Roman" w:eastAsia="仿宋_GB2312" w:cs="Times New Roman"/>
          <w:sz w:val="32"/>
          <w:szCs w:val="32"/>
        </w:rPr>
        <w:t>”</w:t>
      </w:r>
      <w:r>
        <w:rPr>
          <w:rFonts w:ascii="Times New Roman" w:eastAsia="仿宋_GB2312" w:cs="Times New Roman"/>
          <w:sz w:val="32"/>
          <w:szCs w:val="32"/>
        </w:rPr>
        <w:t>明细科目。</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1.“510101</w:t>
      </w:r>
      <w:r>
        <w:rPr>
          <w:rFonts w:ascii="Times New Roman" w:eastAsia="仿宋_GB2312" w:cs="Times New Roman"/>
          <w:sz w:val="32"/>
          <w:szCs w:val="32"/>
        </w:rPr>
        <w:t>行政管理费用</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科目核算高等学校开展单位的行政管理活动所发生的各项费用。</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010</w:t>
      </w:r>
      <w:r>
        <w:rPr>
          <w:rFonts w:hint="eastAsia" w:ascii="Times New Roman" w:hAnsi="Times New Roman" w:eastAsia="仿宋_GB2312" w:cs="Times New Roman"/>
          <w:sz w:val="32"/>
          <w:szCs w:val="32"/>
        </w:rPr>
        <w:t>2</w:t>
      </w:r>
      <w:r>
        <w:rPr>
          <w:rFonts w:ascii="Times New Roman" w:eastAsia="仿宋_GB2312" w:cs="Times New Roman"/>
          <w:sz w:val="32"/>
          <w:szCs w:val="32"/>
        </w:rPr>
        <w:t>后勤保障费用</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核算高等学校</w:t>
      </w:r>
      <w:r>
        <w:rPr>
          <w:rFonts w:hint="eastAsia" w:ascii="Times New Roman" w:hAnsi="Times New Roman" w:eastAsia="仿宋_GB2312" w:cs="Times New Roman"/>
          <w:kern w:val="0"/>
          <w:sz w:val="32"/>
          <w:szCs w:val="32"/>
        </w:rPr>
        <w:t>统一负担的</w:t>
      </w:r>
      <w:r>
        <w:rPr>
          <w:rFonts w:ascii="Times New Roman" w:hAnsi="Times New Roman" w:eastAsia="仿宋_GB2312" w:cs="Times New Roman"/>
          <w:kern w:val="0"/>
          <w:sz w:val="32"/>
          <w:szCs w:val="32"/>
        </w:rPr>
        <w:t>开展后勤保障活动所发生的各项费用。</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“51010</w:t>
      </w:r>
      <w:r>
        <w:rPr>
          <w:rFonts w:hint="eastAsia" w:ascii="Times New Roman" w:hAnsi="Times New Roman" w:eastAsia="仿宋_GB2312" w:cs="Times New Roman"/>
          <w:sz w:val="32"/>
          <w:szCs w:val="32"/>
        </w:rPr>
        <w:t>3</w:t>
      </w:r>
      <w:r>
        <w:rPr>
          <w:rFonts w:ascii="Times New Roman" w:eastAsia="仿宋_GB2312" w:cs="Times New Roman"/>
          <w:sz w:val="32"/>
          <w:szCs w:val="32"/>
        </w:rPr>
        <w:t>离退休费用</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核算高等学校</w:t>
      </w:r>
      <w:r>
        <w:rPr>
          <w:rFonts w:hint="eastAsia" w:ascii="Times New Roman" w:hAnsi="Times New Roman" w:eastAsia="仿宋_GB2312" w:cs="Times New Roman"/>
          <w:kern w:val="0"/>
          <w:sz w:val="32"/>
          <w:szCs w:val="32"/>
        </w:rPr>
        <w:t>统一负担的</w:t>
      </w:r>
      <w:r>
        <w:rPr>
          <w:rFonts w:ascii="Times New Roman" w:hAnsi="Times New Roman" w:eastAsia="仿宋_GB2312" w:cs="Times New Roman"/>
          <w:kern w:val="0"/>
          <w:sz w:val="32"/>
          <w:szCs w:val="32"/>
        </w:rPr>
        <w:t>离退休</w:t>
      </w:r>
      <w:r>
        <w:rPr>
          <w:rFonts w:hint="eastAsia" w:ascii="Times New Roman" w:hAnsi="Times New Roman" w:eastAsia="仿宋_GB2312" w:cs="Times New Roman"/>
          <w:kern w:val="0"/>
          <w:sz w:val="32"/>
          <w:szCs w:val="32"/>
        </w:rPr>
        <w:t>人员工资、补助、活动经费等</w:t>
      </w:r>
      <w:r>
        <w:rPr>
          <w:rFonts w:ascii="Times New Roman" w:hAnsi="Times New Roman" w:eastAsia="仿宋_GB2312" w:cs="Times New Roman"/>
          <w:kern w:val="0"/>
          <w:sz w:val="32"/>
          <w:szCs w:val="32"/>
        </w:rPr>
        <w:t>各项费用。</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“51010</w:t>
      </w:r>
      <w:r>
        <w:rPr>
          <w:rFonts w:hint="eastAsia" w:ascii="Times New Roman" w:hAnsi="Times New Roman" w:eastAsia="仿宋_GB2312" w:cs="Times New Roman"/>
          <w:sz w:val="32"/>
          <w:szCs w:val="32"/>
        </w:rPr>
        <w:t>9</w:t>
      </w:r>
      <w:r>
        <w:rPr>
          <w:rFonts w:ascii="Times New Roman" w:eastAsia="仿宋_GB2312" w:cs="Times New Roman"/>
          <w:sz w:val="32"/>
          <w:szCs w:val="32"/>
        </w:rPr>
        <w:t>单位统一负担的其他管理费用</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核算由高等学校统一负担的</w:t>
      </w:r>
      <w:r>
        <w:rPr>
          <w:rFonts w:hint="eastAsia" w:ascii="Times New Roman" w:hAnsi="Times New Roman" w:eastAsia="仿宋_GB2312" w:cs="Times New Roman"/>
          <w:kern w:val="0"/>
          <w:sz w:val="32"/>
          <w:szCs w:val="32"/>
        </w:rPr>
        <w:t>除行政管理费用、后勤保障费用、离退休费用之外的其他</w:t>
      </w:r>
      <w:r>
        <w:rPr>
          <w:rFonts w:ascii="Times New Roman" w:hAnsi="Times New Roman" w:eastAsia="仿宋_GB2312" w:cs="Times New Roman"/>
          <w:kern w:val="0"/>
          <w:sz w:val="32"/>
          <w:szCs w:val="32"/>
        </w:rPr>
        <w:t>各项</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费用</w:t>
      </w:r>
      <w:r>
        <w:rPr>
          <w:rFonts w:hint="eastAsia" w:ascii="Times New Roman" w:hAnsi="Times New Roman" w:eastAsia="仿宋_GB2312" w:cs="Times New Roman"/>
          <w:kern w:val="0"/>
          <w:sz w:val="32"/>
          <w:szCs w:val="32"/>
        </w:rPr>
        <w:t>，如</w:t>
      </w:r>
      <w:r>
        <w:rPr>
          <w:rFonts w:ascii="Times New Roman" w:hAnsi="Times New Roman" w:eastAsia="仿宋_GB2312" w:cs="Times New Roman"/>
          <w:kern w:val="0"/>
          <w:sz w:val="32"/>
          <w:szCs w:val="32"/>
        </w:rPr>
        <w:t>工会经费、诉讼费、中介费等。</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（四）高等学校应当在新制度规定的</w:t>
      </w:r>
      <w:r>
        <w:rPr>
          <w:rFonts w:ascii="Times New Roman" w:hAnsi="Times New Roman" w:eastAsia="仿宋_GB2312" w:cs="Times New Roman"/>
          <w:sz w:val="32"/>
          <w:szCs w:val="32"/>
        </w:rPr>
        <w:t>“6101</w:t>
      </w:r>
      <w:r>
        <w:rPr>
          <w:rFonts w:ascii="Times New Roman" w:eastAsia="仿宋_GB2312" w:cs="Times New Roman"/>
          <w:sz w:val="32"/>
          <w:szCs w:val="32"/>
        </w:rPr>
        <w:t>事业预算收入</w:t>
      </w:r>
      <w:r>
        <w:rPr>
          <w:rFonts w:ascii="Times New Roman" w:hAnsi="Times New Roman" w:eastAsia="仿宋_GB2312" w:cs="Times New Roman"/>
          <w:sz w:val="32"/>
          <w:szCs w:val="32"/>
        </w:rPr>
        <w:t>”</w:t>
      </w:r>
      <w:r>
        <w:rPr>
          <w:rFonts w:ascii="Times New Roman" w:eastAsia="仿宋_GB2312" w:cs="Times New Roman"/>
          <w:sz w:val="32"/>
          <w:szCs w:val="32"/>
        </w:rPr>
        <w:t>科目下设置</w:t>
      </w:r>
      <w:r>
        <w:rPr>
          <w:rFonts w:ascii="Times New Roman" w:hAnsi="Times New Roman" w:eastAsia="仿宋_GB2312" w:cs="Times New Roman"/>
          <w:sz w:val="32"/>
          <w:szCs w:val="32"/>
        </w:rPr>
        <w:t>“610101</w:t>
      </w:r>
      <w:r>
        <w:rPr>
          <w:rFonts w:ascii="Times New Roman" w:eastAsia="仿宋_GB2312" w:cs="Times New Roman"/>
          <w:sz w:val="32"/>
          <w:szCs w:val="32"/>
        </w:rPr>
        <w:t>教育</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和</w:t>
      </w:r>
      <w:r>
        <w:rPr>
          <w:rFonts w:ascii="Times New Roman" w:hAnsi="Times New Roman" w:eastAsia="仿宋_GB2312" w:cs="Times New Roman"/>
          <w:sz w:val="32"/>
          <w:szCs w:val="32"/>
        </w:rPr>
        <w:t>“610102</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明细科目。</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1.“610101</w:t>
      </w:r>
      <w:r>
        <w:rPr>
          <w:rFonts w:ascii="Times New Roman" w:eastAsia="仿宋_GB2312" w:cs="Times New Roman"/>
          <w:sz w:val="32"/>
          <w:szCs w:val="32"/>
        </w:rPr>
        <w:t>教育</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hint="eastAsia" w:ascii="Times New Roman" w:eastAsia="仿宋_GB2312" w:cs="Times New Roman"/>
          <w:sz w:val="32"/>
          <w:szCs w:val="32"/>
        </w:rPr>
        <w:t>”</w:t>
      </w:r>
      <w:r>
        <w:rPr>
          <w:rFonts w:ascii="Times New Roman" w:hAnsi="Times New Roman" w:eastAsia="仿宋_GB2312" w:cs="Times New Roman"/>
          <w:kern w:val="0"/>
          <w:sz w:val="32"/>
          <w:szCs w:val="32"/>
        </w:rPr>
        <w:t>科目核算高等学校开展教学活动及其辅助活动取得</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现金流入。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“610102</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ascii="Times New Roman" w:hAnsi="Times New Roman" w:eastAsia="仿宋_GB2312" w:cs="Times New Roman"/>
          <w:kern w:val="0"/>
          <w:sz w:val="32"/>
          <w:szCs w:val="32"/>
        </w:rPr>
        <w:t>核算高等学校开展科研活动及其辅助活动取得</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现金流入。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五</w:t>
      </w:r>
      <w:r>
        <w:rPr>
          <w:rFonts w:ascii="Times New Roman" w:hAnsi="Times New Roman" w:eastAsia="仿宋_GB2312" w:cs="Times New Roman"/>
          <w:kern w:val="0"/>
          <w:sz w:val="32"/>
          <w:szCs w:val="32"/>
        </w:rPr>
        <w:t>）高等学校应当在新制度规定的“7201事业支出”</w:t>
      </w:r>
      <w:r>
        <w:rPr>
          <w:rFonts w:ascii="Times New Roman" w:eastAsia="仿宋_GB2312" w:cs="Times New Roman"/>
          <w:sz w:val="32"/>
          <w:szCs w:val="32"/>
        </w:rPr>
        <w:t>科目下设置</w:t>
      </w:r>
      <w:r>
        <w:rPr>
          <w:rFonts w:ascii="Times New Roman" w:hAnsi="Times New Roman" w:eastAsia="仿宋_GB2312" w:cs="Times New Roman"/>
          <w:sz w:val="32"/>
          <w:szCs w:val="32"/>
        </w:rPr>
        <w:t>“720101</w:t>
      </w:r>
      <w:r>
        <w:rPr>
          <w:rFonts w:ascii="Times New Roman" w:eastAsia="仿宋_GB2312" w:cs="Times New Roman"/>
          <w:sz w:val="32"/>
          <w:szCs w:val="32"/>
        </w:rPr>
        <w:t>教育支出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“720102</w:t>
      </w:r>
      <w:r>
        <w:rPr>
          <w:rFonts w:ascii="Times New Roman" w:eastAsia="仿宋_GB2312" w:cs="Times New Roman"/>
          <w:sz w:val="32"/>
          <w:szCs w:val="32"/>
        </w:rPr>
        <w:t>科研支出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 xml:space="preserve"> “72010</w:t>
      </w:r>
      <w:r>
        <w:rPr>
          <w:rFonts w:hint="eastAsia" w:ascii="Times New Roman" w:hAnsi="Times New Roman" w:eastAsia="仿宋_GB2312" w:cs="Times New Roman"/>
          <w:sz w:val="32"/>
          <w:szCs w:val="32"/>
        </w:rPr>
        <w:t>3</w:t>
      </w:r>
      <w:r>
        <w:rPr>
          <w:rFonts w:ascii="Times New Roman" w:eastAsia="仿宋_GB2312" w:cs="Times New Roman"/>
          <w:sz w:val="32"/>
          <w:szCs w:val="32"/>
        </w:rPr>
        <w:t>行政管理支出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“72010</w:t>
      </w:r>
      <w:r>
        <w:rPr>
          <w:rFonts w:hint="eastAsia" w:ascii="Times New Roman" w:hAnsi="Times New Roman" w:eastAsia="仿宋_GB2312" w:cs="Times New Roman"/>
          <w:sz w:val="32"/>
          <w:szCs w:val="32"/>
        </w:rPr>
        <w:t>4</w:t>
      </w:r>
      <w:r>
        <w:rPr>
          <w:rFonts w:ascii="Times New Roman" w:eastAsia="仿宋_GB2312" w:cs="Times New Roman"/>
          <w:sz w:val="32"/>
          <w:szCs w:val="32"/>
        </w:rPr>
        <w:t>后勤保障支出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“720105</w:t>
      </w:r>
      <w:r>
        <w:rPr>
          <w:rFonts w:ascii="Times New Roman" w:eastAsia="仿宋_GB2312" w:cs="Times New Roman"/>
          <w:sz w:val="32"/>
          <w:szCs w:val="32"/>
        </w:rPr>
        <w:t>离退休支出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、“720109其他事业支出”</w:t>
      </w:r>
      <w:r>
        <w:rPr>
          <w:rFonts w:ascii="Times New Roman" w:eastAsia="仿宋_GB2312" w:cs="Times New Roman"/>
          <w:sz w:val="32"/>
          <w:szCs w:val="32"/>
        </w:rPr>
        <w:t>明细科目。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1.“720101</w:t>
      </w:r>
      <w:r>
        <w:rPr>
          <w:rFonts w:ascii="Times New Roman" w:eastAsia="仿宋_GB2312" w:cs="Times New Roman"/>
          <w:sz w:val="32"/>
          <w:szCs w:val="32"/>
        </w:rPr>
        <w:t>教育支出</w:t>
      </w:r>
      <w:r>
        <w:rPr>
          <w:rFonts w:ascii="Times New Roman" w:hAnsi="Times New Roman" w:eastAsia="仿宋_GB2312" w:cs="Times New Roman"/>
          <w:sz w:val="32"/>
          <w:szCs w:val="32"/>
        </w:rPr>
        <w:t>”</w:t>
      </w:r>
      <w:r>
        <w:rPr>
          <w:rFonts w:ascii="Times New Roman" w:eastAsia="仿宋_GB2312" w:cs="Times New Roman"/>
          <w:sz w:val="32"/>
          <w:szCs w:val="32"/>
        </w:rPr>
        <w:t>科目核算高等学校开展教学及其辅助活动</w:t>
      </w:r>
      <w:r>
        <w:rPr>
          <w:rFonts w:hint="eastAsia" w:ascii="Times New Roman" w:eastAsia="仿宋_GB2312" w:cs="Times New Roman"/>
          <w:sz w:val="32"/>
          <w:szCs w:val="32"/>
        </w:rPr>
        <w:t>、学生事务等活动</w:t>
      </w:r>
      <w:r>
        <w:rPr>
          <w:rFonts w:ascii="Times New Roman" w:eastAsia="仿宋_GB2312" w:cs="Times New Roman"/>
          <w:sz w:val="32"/>
          <w:szCs w:val="32"/>
        </w:rPr>
        <w:t>实际发生的各项现金流出。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2.“720102</w:t>
      </w:r>
      <w:r>
        <w:rPr>
          <w:rFonts w:ascii="Times New Roman" w:eastAsia="仿宋_GB2312" w:cs="Times New Roman"/>
          <w:sz w:val="32"/>
          <w:szCs w:val="32"/>
        </w:rPr>
        <w:t>科研支出</w:t>
      </w:r>
      <w:r>
        <w:rPr>
          <w:rFonts w:ascii="Times New Roman" w:hAnsi="Times New Roman" w:eastAsia="仿宋_GB2312" w:cs="Times New Roman"/>
          <w:sz w:val="32"/>
          <w:szCs w:val="32"/>
        </w:rPr>
        <w:t>”</w:t>
      </w:r>
      <w:r>
        <w:rPr>
          <w:rFonts w:ascii="Times New Roman" w:eastAsia="仿宋_GB2312" w:cs="Times New Roman"/>
          <w:sz w:val="32"/>
          <w:szCs w:val="32"/>
        </w:rPr>
        <w:t>科目核算高等学校开展科研及其辅助活动实际发生的各项现金流出。</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.“72010</w:t>
      </w:r>
      <w:r>
        <w:rPr>
          <w:rFonts w:hint="eastAsia" w:ascii="Times New Roman" w:hAnsi="Times New Roman" w:eastAsia="仿宋_GB2312" w:cs="Times New Roman"/>
          <w:sz w:val="32"/>
          <w:szCs w:val="32"/>
        </w:rPr>
        <w:t>3</w:t>
      </w:r>
      <w:r>
        <w:rPr>
          <w:rFonts w:ascii="Times New Roman" w:eastAsia="仿宋_GB2312" w:cs="Times New Roman"/>
          <w:sz w:val="32"/>
          <w:szCs w:val="32"/>
        </w:rPr>
        <w:t>行政管理支出</w:t>
      </w:r>
      <w:r>
        <w:rPr>
          <w:rFonts w:ascii="Times New Roman" w:hAnsi="Times New Roman" w:eastAsia="仿宋_GB2312" w:cs="Times New Roman"/>
          <w:sz w:val="32"/>
          <w:szCs w:val="32"/>
        </w:rPr>
        <w:t>”</w:t>
      </w:r>
      <w:r>
        <w:rPr>
          <w:rFonts w:ascii="Times New Roman" w:eastAsia="仿宋_GB2312" w:cs="Times New Roman"/>
          <w:sz w:val="32"/>
          <w:szCs w:val="32"/>
        </w:rPr>
        <w:t>科目核算高等学校开展单位的行政管理活动实际发生的各项现金流出。</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.“72010</w:t>
      </w:r>
      <w:r>
        <w:rPr>
          <w:rFonts w:hint="eastAsia" w:ascii="Times New Roman" w:hAnsi="Times New Roman" w:eastAsia="仿宋_GB2312" w:cs="Times New Roman"/>
          <w:sz w:val="32"/>
          <w:szCs w:val="32"/>
        </w:rPr>
        <w:t>4</w:t>
      </w:r>
      <w:r>
        <w:rPr>
          <w:rFonts w:ascii="Times New Roman" w:eastAsia="仿宋_GB2312" w:cs="Times New Roman"/>
          <w:sz w:val="32"/>
          <w:szCs w:val="32"/>
        </w:rPr>
        <w:t>后勤保障支出</w:t>
      </w:r>
      <w:r>
        <w:rPr>
          <w:rFonts w:ascii="Times New Roman" w:hAnsi="Times New Roman" w:eastAsia="仿宋_GB2312" w:cs="Times New Roman"/>
          <w:sz w:val="32"/>
          <w:szCs w:val="32"/>
        </w:rPr>
        <w:t>”</w:t>
      </w:r>
      <w:r>
        <w:rPr>
          <w:rFonts w:ascii="Times New Roman" w:eastAsia="仿宋_GB2312" w:cs="Times New Roman"/>
          <w:sz w:val="32"/>
          <w:szCs w:val="32"/>
        </w:rPr>
        <w:t>科目核算高等学校开展后勤保障活动实际发生的各项现金流出。</w:t>
      </w:r>
    </w:p>
    <w:p>
      <w:pPr>
        <w:spacing w:line="360" w:lineRule="auto"/>
        <w:ind w:firstLine="640" w:firstLineChars="200"/>
        <w:rPr>
          <w:rFonts w:ascii="Times New Roman" w:eastAsia="仿宋_GB2312" w:cs="Times New Roman"/>
          <w:sz w:val="32"/>
          <w:szCs w:val="32"/>
        </w:rPr>
      </w:pPr>
      <w:r>
        <w:rPr>
          <w:rFonts w:ascii="Times New Roman" w:hAnsi="Times New Roman" w:eastAsia="仿宋_GB2312" w:cs="Times New Roman"/>
          <w:sz w:val="32"/>
          <w:szCs w:val="32"/>
        </w:rPr>
        <w:t>5.“720105</w:t>
      </w:r>
      <w:r>
        <w:rPr>
          <w:rFonts w:ascii="Times New Roman" w:eastAsia="仿宋_GB2312" w:cs="Times New Roman"/>
          <w:sz w:val="32"/>
          <w:szCs w:val="32"/>
        </w:rPr>
        <w:t>离退休支出</w:t>
      </w:r>
      <w:r>
        <w:rPr>
          <w:rFonts w:ascii="Times New Roman" w:hAnsi="Times New Roman" w:eastAsia="仿宋_GB2312" w:cs="Times New Roman"/>
          <w:sz w:val="32"/>
          <w:szCs w:val="32"/>
        </w:rPr>
        <w:t>”</w:t>
      </w:r>
      <w:r>
        <w:rPr>
          <w:rFonts w:ascii="Times New Roman" w:eastAsia="仿宋_GB2312" w:cs="Times New Roman"/>
          <w:sz w:val="32"/>
          <w:szCs w:val="32"/>
        </w:rPr>
        <w:t>科目核算高等学校</w:t>
      </w:r>
      <w:r>
        <w:rPr>
          <w:rFonts w:hint="eastAsia" w:ascii="Times New Roman" w:eastAsia="仿宋_GB2312" w:cs="Times New Roman"/>
          <w:sz w:val="32"/>
          <w:szCs w:val="32"/>
        </w:rPr>
        <w:t>实际发生的用于</w:t>
      </w:r>
      <w:r>
        <w:rPr>
          <w:rFonts w:ascii="Times New Roman" w:hAnsi="Times New Roman" w:eastAsia="仿宋_GB2312" w:cs="Times New Roman"/>
          <w:kern w:val="0"/>
          <w:sz w:val="32"/>
          <w:szCs w:val="32"/>
        </w:rPr>
        <w:t>离退休</w:t>
      </w:r>
      <w:r>
        <w:rPr>
          <w:rFonts w:hint="eastAsia" w:ascii="Times New Roman" w:hAnsi="Times New Roman" w:eastAsia="仿宋_GB2312" w:cs="Times New Roman"/>
          <w:kern w:val="0"/>
          <w:sz w:val="32"/>
          <w:szCs w:val="32"/>
        </w:rPr>
        <w:t>人员的各项</w:t>
      </w:r>
      <w:r>
        <w:rPr>
          <w:rFonts w:ascii="Times New Roman" w:eastAsia="仿宋_GB2312" w:cs="Times New Roman"/>
          <w:sz w:val="32"/>
          <w:szCs w:val="32"/>
        </w:rPr>
        <w:t>现金流出。</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720109其他事业支出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科目核算高等学校发生的除教学、科研、后勤保障、行政管理、离退休支出之外的其他各项事业支出。</w:t>
      </w:r>
    </w:p>
    <w:p>
      <w:pPr>
        <w:spacing w:line="360" w:lineRule="auto"/>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二、关于报表及编制说明</w:t>
      </w:r>
    </w:p>
    <w:p>
      <w:pPr>
        <w:spacing w:line="360" w:lineRule="auto"/>
        <w:rPr>
          <w:rFonts w:ascii="Times New Roman" w:hAnsi="Times New Roman" w:eastAsia="仿宋_GB2312" w:cs="Times New Roman"/>
          <w:b/>
          <w:sz w:val="32"/>
          <w:szCs w:val="32"/>
        </w:rPr>
      </w:pPr>
      <w:r>
        <w:rPr>
          <w:rFonts w:ascii="Times New Roman" w:hAnsi="Times New Roman" w:eastAsia="仿宋_GB2312" w:cs="Times New Roman"/>
          <w:b/>
          <w:sz w:val="32"/>
          <w:szCs w:val="32"/>
        </w:rPr>
        <w:t xml:space="preserve">    </w:t>
      </w:r>
      <w:r>
        <w:rPr>
          <w:rFonts w:hint="eastAsia" w:ascii="Times New Roman" w:hAnsi="Times New Roman" w:eastAsia="仿宋_GB2312" w:cs="Times New Roman"/>
          <w:b/>
          <w:sz w:val="32"/>
          <w:szCs w:val="32"/>
        </w:rPr>
        <w:t>（一）关于</w:t>
      </w:r>
      <w:r>
        <w:rPr>
          <w:rFonts w:ascii="Times New Roman" w:eastAsia="仿宋_GB2312" w:cs="Times New Roman"/>
          <w:b/>
          <w:sz w:val="32"/>
          <w:szCs w:val="32"/>
        </w:rPr>
        <w:t>收入费用表</w:t>
      </w:r>
    </w:p>
    <w:p>
      <w:pPr>
        <w:spacing w:line="360" w:lineRule="auto"/>
        <w:ind w:firstLine="63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1.新增项目</w:t>
      </w:r>
    </w:p>
    <w:p>
      <w:pPr>
        <w:spacing w:line="360" w:lineRule="auto"/>
        <w:ind w:firstLine="630"/>
        <w:rPr>
          <w:rFonts w:ascii="Times New Roman" w:hAnsi="Times New Roman" w:eastAsia="仿宋_GB2312" w:cs="Times New Roman"/>
          <w:sz w:val="32"/>
          <w:szCs w:val="32"/>
        </w:rPr>
      </w:pPr>
      <w:r>
        <w:rPr>
          <w:rFonts w:ascii="Times New Roman" w:eastAsia="仿宋_GB2312" w:cs="Times New Roman"/>
          <w:sz w:val="32"/>
          <w:szCs w:val="32"/>
        </w:rPr>
        <w:t>高等学校应当在收入费用表的</w:t>
      </w:r>
      <w:r>
        <w:rPr>
          <w:rFonts w:ascii="Times New Roman" w:hAnsi="Times New Roman" w:eastAsia="仿宋_GB2312" w:cs="Times New Roman"/>
          <w:sz w:val="32"/>
          <w:szCs w:val="32"/>
        </w:rPr>
        <w:t>“</w:t>
      </w:r>
      <w:r>
        <w:rPr>
          <w:rFonts w:ascii="Times New Roman" w:eastAsia="仿宋_GB2312" w:cs="Times New Roman"/>
          <w:sz w:val="32"/>
          <w:szCs w:val="32"/>
        </w:rPr>
        <w:t>（二）事业收入</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下</w:t>
      </w:r>
      <w:r>
        <w:rPr>
          <w:rFonts w:ascii="Times New Roman" w:eastAsia="仿宋_GB2312" w:cs="Times New Roman"/>
          <w:sz w:val="32"/>
          <w:szCs w:val="32"/>
        </w:rPr>
        <w:t>增加</w:t>
      </w:r>
      <w:r>
        <w:rPr>
          <w:rFonts w:ascii="Times New Roman" w:hAnsi="Times New Roman" w:eastAsia="仿宋_GB2312" w:cs="Times New Roman"/>
          <w:sz w:val="32"/>
          <w:szCs w:val="32"/>
        </w:rPr>
        <w:t>“</w:t>
      </w:r>
      <w:r>
        <w:rPr>
          <w:rFonts w:ascii="Times New Roman" w:eastAsia="仿宋_GB2312" w:cs="Times New Roman"/>
          <w:sz w:val="32"/>
          <w:szCs w:val="32"/>
        </w:rPr>
        <w:t>其中：教育</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在“（十一）其他收入”项目下增加“其中：后勤保障单位净收入”项目，</w:t>
      </w:r>
      <w:r>
        <w:rPr>
          <w:rFonts w:ascii="Times New Roman" w:eastAsia="仿宋_GB2312" w:cs="Times New Roman"/>
          <w:sz w:val="32"/>
          <w:szCs w:val="32"/>
        </w:rPr>
        <w:t>在</w:t>
      </w:r>
      <w:r>
        <w:rPr>
          <w:rFonts w:ascii="Times New Roman" w:hAnsi="Times New Roman" w:eastAsia="仿宋_GB2312" w:cs="Times New Roman"/>
          <w:sz w:val="32"/>
          <w:szCs w:val="32"/>
        </w:rPr>
        <w:t>“</w:t>
      </w:r>
      <w:r>
        <w:rPr>
          <w:rFonts w:ascii="Times New Roman" w:eastAsia="仿宋_GB2312" w:cs="Times New Roman"/>
          <w:sz w:val="32"/>
          <w:szCs w:val="32"/>
        </w:rPr>
        <w:t>（一）业务活动费用</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下</w:t>
      </w:r>
      <w:r>
        <w:rPr>
          <w:rFonts w:ascii="Times New Roman" w:eastAsia="仿宋_GB2312" w:cs="Times New Roman"/>
          <w:sz w:val="32"/>
          <w:szCs w:val="32"/>
        </w:rPr>
        <w:t>增加</w:t>
      </w:r>
      <w:r>
        <w:rPr>
          <w:rFonts w:ascii="Times New Roman" w:hAnsi="Times New Roman" w:eastAsia="仿宋_GB2312" w:cs="Times New Roman"/>
          <w:sz w:val="32"/>
          <w:szCs w:val="32"/>
        </w:rPr>
        <w:t>“</w:t>
      </w:r>
      <w:r>
        <w:rPr>
          <w:rFonts w:ascii="Times New Roman" w:eastAsia="仿宋_GB2312" w:cs="Times New Roman"/>
          <w:sz w:val="32"/>
          <w:szCs w:val="32"/>
        </w:rPr>
        <w:t>其中：教育费用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项目，在</w:t>
      </w:r>
      <w:r>
        <w:rPr>
          <w:rFonts w:ascii="Times New Roman" w:hAnsi="Times New Roman" w:eastAsia="仿宋_GB2312" w:cs="Times New Roman"/>
          <w:sz w:val="32"/>
          <w:szCs w:val="32"/>
        </w:rPr>
        <w:t>“</w:t>
      </w:r>
      <w:r>
        <w:rPr>
          <w:rFonts w:ascii="Times New Roman" w:eastAsia="仿宋_GB2312" w:cs="Times New Roman"/>
          <w:sz w:val="32"/>
          <w:szCs w:val="32"/>
        </w:rPr>
        <w:t>（二）单位管理费用</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下</w:t>
      </w:r>
      <w:r>
        <w:rPr>
          <w:rFonts w:ascii="Times New Roman" w:eastAsia="仿宋_GB2312" w:cs="Times New Roman"/>
          <w:sz w:val="32"/>
          <w:szCs w:val="32"/>
        </w:rPr>
        <w:t>增加</w:t>
      </w:r>
      <w:r>
        <w:rPr>
          <w:rFonts w:ascii="Times New Roman" w:hAnsi="Times New Roman" w:eastAsia="仿宋_GB2312" w:cs="Times New Roman"/>
          <w:sz w:val="32"/>
          <w:szCs w:val="32"/>
        </w:rPr>
        <w:t>“</w:t>
      </w:r>
      <w:r>
        <w:rPr>
          <w:rFonts w:ascii="Times New Roman" w:eastAsia="仿宋_GB2312" w:cs="Times New Roman"/>
          <w:sz w:val="32"/>
          <w:szCs w:val="32"/>
        </w:rPr>
        <w:t>其中：行政管理费用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 xml:space="preserve"> “</w:t>
      </w:r>
      <w:r>
        <w:rPr>
          <w:rFonts w:ascii="Times New Roman" w:eastAsia="仿宋_GB2312" w:cs="Times New Roman"/>
          <w:sz w:val="32"/>
          <w:szCs w:val="32"/>
        </w:rPr>
        <w:t>后勤保障费用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离退休费用</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单位统一负担的其他管理费用</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详</w:t>
      </w:r>
      <w:r>
        <w:rPr>
          <w:rFonts w:ascii="Times New Roman" w:eastAsia="仿宋_GB2312" w:cs="Times New Roman"/>
          <w:sz w:val="32"/>
          <w:szCs w:val="32"/>
        </w:rPr>
        <w:t>见附表</w:t>
      </w:r>
      <w:r>
        <w:rPr>
          <w:rFonts w:ascii="Times New Roman" w:hAnsi="Times New Roman" w:eastAsia="仿宋_GB2312" w:cs="Times New Roman"/>
          <w:sz w:val="32"/>
          <w:szCs w:val="32"/>
        </w:rPr>
        <w:t>1</w:t>
      </w:r>
      <w:r>
        <w:rPr>
          <w:rFonts w:asci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2.新增项目的内容和填列方法</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ascii="Times New Roman" w:eastAsia="仿宋_GB2312" w:cs="Times New Roman"/>
          <w:sz w:val="32"/>
          <w:szCs w:val="32"/>
        </w:rPr>
        <w:t>其中：教育</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项目，反映高等学校本期开展教学活动及其辅助活动实现的收入。本项目应当根据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事业收入——</w:t>
      </w:r>
      <w:r>
        <w:rPr>
          <w:rFonts w:ascii="Times New Roman" w:eastAsia="仿宋_GB2312" w:cs="Times New Roman"/>
          <w:sz w:val="32"/>
          <w:szCs w:val="32"/>
        </w:rPr>
        <w:t>教育</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项目，反映高等学校本期开展科研活动及其辅助活动实现的收入。本项目应当根据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事业收入——</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（3）“其中：后勤保障单位净</w:t>
      </w:r>
      <w:r>
        <w:rPr>
          <w:rFonts w:ascii="Times New Roman" w:eastAsia="仿宋_GB2312" w:cs="Times New Roman"/>
          <w:sz w:val="32"/>
          <w:szCs w:val="32"/>
        </w:rPr>
        <w:t>收入</w:t>
      </w:r>
      <w:r>
        <w:rPr>
          <w:rFonts w:hint="eastAsia" w:ascii="Times New Roman" w:eastAsia="仿宋_GB2312" w:cs="Times New Roman"/>
          <w:sz w:val="32"/>
          <w:szCs w:val="32"/>
        </w:rPr>
        <w:t>”项目详见“（三）关于校内独立核算单位报表编制的规定”。</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其中：教育费用</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w:t>
      </w:r>
      <w:r>
        <w:rPr>
          <w:rFonts w:ascii="Times New Roman" w:eastAsia="仿宋_GB2312" w:cs="Times New Roman"/>
          <w:sz w:val="32"/>
          <w:szCs w:val="32"/>
        </w:rPr>
        <w:t>本期</w:t>
      </w:r>
      <w:r>
        <w:rPr>
          <w:rFonts w:ascii="Times New Roman" w:hAnsi="Times New Roman" w:eastAsia="仿宋_GB2312" w:cs="Times New Roman"/>
          <w:kern w:val="0"/>
          <w:sz w:val="32"/>
          <w:szCs w:val="32"/>
        </w:rPr>
        <w:t>开展教学及其辅助活动</w:t>
      </w:r>
      <w:r>
        <w:rPr>
          <w:rFonts w:hint="eastAsia" w:ascii="Times New Roman" w:hAnsi="Times New Roman" w:eastAsia="仿宋_GB2312" w:cs="Times New Roman"/>
          <w:kern w:val="0"/>
          <w:sz w:val="32"/>
          <w:szCs w:val="32"/>
        </w:rPr>
        <w:t>、学生事务等活动</w:t>
      </w:r>
      <w:r>
        <w:rPr>
          <w:rFonts w:ascii="Times New Roman" w:hAnsi="Times New Roman" w:eastAsia="仿宋_GB2312" w:cs="Times New Roman"/>
          <w:kern w:val="0"/>
          <w:sz w:val="32"/>
          <w:szCs w:val="32"/>
        </w:rPr>
        <w:t>所发生的各项费用。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业务活动费用——</w:t>
      </w:r>
      <w:r>
        <w:rPr>
          <w:rFonts w:ascii="Times New Roman" w:eastAsia="仿宋_GB2312" w:cs="Times New Roman"/>
          <w:sz w:val="32"/>
          <w:szCs w:val="32"/>
        </w:rPr>
        <w:t>教育费用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w:t>
      </w:r>
      <w:r>
        <w:rPr>
          <w:rFonts w:ascii="Times New Roman" w:eastAsia="仿宋_GB2312" w:cs="Times New Roman"/>
          <w:sz w:val="32"/>
          <w:szCs w:val="32"/>
        </w:rPr>
        <w:t>本期</w:t>
      </w:r>
      <w:r>
        <w:rPr>
          <w:rFonts w:ascii="Times New Roman" w:hAnsi="Times New Roman" w:eastAsia="仿宋_GB2312" w:cs="Times New Roman"/>
          <w:kern w:val="0"/>
          <w:sz w:val="32"/>
          <w:szCs w:val="32"/>
        </w:rPr>
        <w:t>开展科研及其辅助活动所发生的各项费用。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业务活动费用——</w:t>
      </w:r>
      <w:r>
        <w:rPr>
          <w:rFonts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（6</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其中：行政管理费用</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w:t>
      </w:r>
      <w:r>
        <w:rPr>
          <w:rFonts w:ascii="Times New Roman" w:eastAsia="仿宋_GB2312" w:cs="Times New Roman"/>
          <w:sz w:val="32"/>
          <w:szCs w:val="32"/>
        </w:rPr>
        <w:t>本期开展</w:t>
      </w:r>
      <w:r>
        <w:rPr>
          <w:rFonts w:ascii="Times New Roman" w:hAnsi="Times New Roman" w:eastAsia="仿宋_GB2312" w:cs="Times New Roman"/>
          <w:kern w:val="0"/>
          <w:sz w:val="32"/>
          <w:szCs w:val="32"/>
        </w:rPr>
        <w:t>单位的行政管理活动所发生的各项费用。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单位管理费用——</w:t>
      </w:r>
      <w:r>
        <w:rPr>
          <w:rFonts w:ascii="Times New Roman" w:eastAsia="仿宋_GB2312" w:cs="Times New Roman"/>
          <w:sz w:val="32"/>
          <w:szCs w:val="32"/>
        </w:rPr>
        <w:t>行政管理费</w:t>
      </w:r>
      <w:r>
        <w:rPr>
          <w:rFonts w:hint="eastAsia" w:ascii="Times New Roman" w:eastAsia="仿宋_GB2312" w:cs="Times New Roman"/>
          <w:sz w:val="32"/>
          <w:szCs w:val="32"/>
        </w:rPr>
        <w:t>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ind w:firstLine="630"/>
        <w:rPr>
          <w:rFonts w:asci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后勤保障费用</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w:t>
      </w:r>
      <w:r>
        <w:rPr>
          <w:rFonts w:ascii="Times New Roman" w:eastAsia="仿宋_GB2312" w:cs="Times New Roman"/>
          <w:sz w:val="32"/>
          <w:szCs w:val="32"/>
        </w:rPr>
        <w:t>本期</w:t>
      </w:r>
      <w:r>
        <w:rPr>
          <w:rFonts w:hint="eastAsia" w:ascii="Times New Roman" w:hAnsi="Times New Roman" w:eastAsia="仿宋_GB2312" w:cs="Times New Roman"/>
          <w:kern w:val="0"/>
          <w:sz w:val="32"/>
          <w:szCs w:val="32"/>
        </w:rPr>
        <w:t>统一负担的</w:t>
      </w:r>
      <w:r>
        <w:rPr>
          <w:rFonts w:ascii="Times New Roman" w:hAnsi="Times New Roman" w:eastAsia="仿宋_GB2312" w:cs="Times New Roman"/>
          <w:kern w:val="0"/>
          <w:sz w:val="32"/>
          <w:szCs w:val="32"/>
        </w:rPr>
        <w:t>开展后勤保障活动所发生的各项费用。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单位管理费用——</w:t>
      </w:r>
      <w:r>
        <w:rPr>
          <w:rFonts w:ascii="Times New Roman" w:eastAsia="仿宋_GB2312" w:cs="Times New Roman"/>
          <w:sz w:val="32"/>
          <w:szCs w:val="32"/>
        </w:rPr>
        <w:t>后勤保障费用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ind w:firstLine="630"/>
        <w:rPr>
          <w:rFonts w:ascii="Times New Roman" w:hAnsi="Times New Roman" w:eastAsia="仿宋_GB2312" w:cs="Times New Roman"/>
          <w:sz w:val="32"/>
          <w:szCs w:val="32"/>
        </w:rPr>
      </w:pPr>
      <w:r>
        <w:rPr>
          <w:rFonts w:hint="eastAsia" w:ascii="Times New Roman" w:eastAsia="仿宋_GB2312" w:cs="Times New Roman"/>
          <w:sz w:val="32"/>
          <w:szCs w:val="32"/>
        </w:rPr>
        <w:t>（</w:t>
      </w:r>
      <w:r>
        <w:rPr>
          <w:rFonts w:hint="eastAsia" w:ascii="Times New Roman" w:hAnsi="Times New Roman" w:eastAsia="仿宋_GB2312" w:cs="Times New Roman"/>
          <w:sz w:val="32"/>
          <w:szCs w:val="32"/>
        </w:rPr>
        <w:t>8</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离退休费用</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w:t>
      </w:r>
      <w:r>
        <w:rPr>
          <w:rFonts w:ascii="Times New Roman" w:eastAsia="仿宋_GB2312" w:cs="Times New Roman"/>
          <w:sz w:val="32"/>
          <w:szCs w:val="32"/>
        </w:rPr>
        <w:t>本期</w:t>
      </w:r>
      <w:r>
        <w:rPr>
          <w:rFonts w:hint="eastAsia" w:ascii="Times New Roman" w:hAnsi="Times New Roman" w:eastAsia="仿宋_GB2312" w:cs="Times New Roman"/>
          <w:kern w:val="0"/>
          <w:sz w:val="32"/>
          <w:szCs w:val="32"/>
        </w:rPr>
        <w:t>统一负担的</w:t>
      </w:r>
      <w:r>
        <w:rPr>
          <w:rFonts w:ascii="Times New Roman" w:hAnsi="Times New Roman" w:eastAsia="仿宋_GB2312" w:cs="Times New Roman"/>
          <w:kern w:val="0"/>
          <w:sz w:val="32"/>
          <w:szCs w:val="32"/>
        </w:rPr>
        <w:t>离退休</w:t>
      </w:r>
      <w:r>
        <w:rPr>
          <w:rFonts w:hint="eastAsia" w:ascii="Times New Roman" w:hAnsi="Times New Roman" w:eastAsia="仿宋_GB2312" w:cs="Times New Roman"/>
          <w:kern w:val="0"/>
          <w:sz w:val="32"/>
          <w:szCs w:val="32"/>
        </w:rPr>
        <w:t>人员工资、补助、活动经费等</w:t>
      </w:r>
      <w:r>
        <w:rPr>
          <w:rFonts w:ascii="Times New Roman" w:hAnsi="Times New Roman" w:eastAsia="仿宋_GB2312" w:cs="Times New Roman"/>
          <w:kern w:val="0"/>
          <w:sz w:val="32"/>
          <w:szCs w:val="32"/>
        </w:rPr>
        <w:t>各项费用。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单位管理费用——</w:t>
      </w:r>
      <w:r>
        <w:rPr>
          <w:rFonts w:ascii="Times New Roman" w:eastAsia="仿宋_GB2312" w:cs="Times New Roman"/>
          <w:sz w:val="32"/>
          <w:szCs w:val="32"/>
        </w:rPr>
        <w:t>离退休费用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（9</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单位统一负担的其他管理费用</w:t>
      </w:r>
      <w:r>
        <w:rPr>
          <w:rFonts w:ascii="Times New Roman" w:hAnsi="Times New Roman" w:eastAsia="仿宋_GB2312" w:cs="Times New Roman"/>
          <w:sz w:val="32"/>
          <w:szCs w:val="32"/>
        </w:rPr>
        <w:t>”</w:t>
      </w:r>
      <w:r>
        <w:rPr>
          <w:rFonts w:ascii="Times New Roman" w:eastAsia="仿宋_GB2312" w:cs="Times New Roman"/>
          <w:sz w:val="32"/>
          <w:szCs w:val="32"/>
        </w:rPr>
        <w:t>项目，反映本期</w:t>
      </w:r>
      <w:r>
        <w:rPr>
          <w:rFonts w:ascii="Times New Roman" w:hAnsi="Times New Roman" w:eastAsia="仿宋_GB2312" w:cs="Times New Roman"/>
          <w:kern w:val="0"/>
          <w:sz w:val="32"/>
          <w:szCs w:val="32"/>
        </w:rPr>
        <w:t>由高等学校统一负担的</w:t>
      </w:r>
      <w:r>
        <w:rPr>
          <w:rFonts w:hint="eastAsia" w:ascii="Times New Roman" w:hAnsi="Times New Roman" w:eastAsia="仿宋_GB2312" w:cs="Times New Roman"/>
          <w:kern w:val="0"/>
          <w:sz w:val="32"/>
          <w:szCs w:val="32"/>
        </w:rPr>
        <w:t>除行政管理费用、后勤保障费用、离退休费用之外的</w:t>
      </w:r>
      <w:r>
        <w:rPr>
          <w:rFonts w:ascii="Times New Roman" w:hAnsi="Times New Roman" w:eastAsia="仿宋_GB2312" w:cs="Times New Roman"/>
          <w:kern w:val="0"/>
          <w:sz w:val="32"/>
          <w:szCs w:val="32"/>
        </w:rPr>
        <w:t>各项</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费用。</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单位管理费用——</w:t>
      </w:r>
      <w:r>
        <w:rPr>
          <w:rFonts w:ascii="Times New Roman" w:eastAsia="仿宋_GB2312" w:cs="Times New Roman"/>
          <w:sz w:val="32"/>
          <w:szCs w:val="32"/>
        </w:rPr>
        <w:t>单位统一负担的其他管理费用</w:t>
      </w:r>
      <w:r>
        <w:rPr>
          <w:rFonts w:ascii="Times New Roman" w:hAnsi="Times New Roman" w:eastAsia="仿宋_GB2312" w:cs="Times New Roman"/>
          <w:sz w:val="32"/>
          <w:szCs w:val="32"/>
        </w:rPr>
        <w:t>”</w:t>
      </w:r>
      <w:r>
        <w:rPr>
          <w:rFonts w:ascii="Times New Roman" w:eastAsia="仿宋_GB2312" w:cs="Times New Roman"/>
          <w:sz w:val="32"/>
          <w:szCs w:val="32"/>
        </w:rPr>
        <w:t>科目的本期发生额填列。</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（二）关于</w:t>
      </w:r>
      <w:r>
        <w:rPr>
          <w:rFonts w:ascii="Times New Roman" w:eastAsia="仿宋_GB2312" w:cs="Times New Roman"/>
          <w:b/>
          <w:sz w:val="32"/>
          <w:szCs w:val="32"/>
        </w:rPr>
        <w:t>预算收入支出表</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1.新增项目</w:t>
      </w:r>
    </w:p>
    <w:p>
      <w:pPr>
        <w:spacing w:line="360" w:lineRule="auto"/>
        <w:ind w:firstLine="640" w:firstLineChars="200"/>
        <w:rPr>
          <w:rFonts w:ascii="Times New Roman" w:eastAsia="仿宋_GB2312" w:cs="Times New Roman"/>
          <w:sz w:val="32"/>
          <w:szCs w:val="32"/>
        </w:rPr>
      </w:pPr>
      <w:r>
        <w:rPr>
          <w:rFonts w:ascii="Times New Roman" w:eastAsia="仿宋_GB2312" w:cs="Times New Roman"/>
          <w:sz w:val="32"/>
          <w:szCs w:val="32"/>
        </w:rPr>
        <w:t>高等学校应当在预算收入支出表的</w:t>
      </w:r>
      <w:r>
        <w:rPr>
          <w:rFonts w:ascii="Times New Roman" w:hAnsi="Times New Roman" w:eastAsia="仿宋_GB2312" w:cs="Times New Roman"/>
          <w:sz w:val="32"/>
          <w:szCs w:val="32"/>
        </w:rPr>
        <w:t>“</w:t>
      </w:r>
      <w:r>
        <w:rPr>
          <w:rFonts w:ascii="Times New Roman" w:eastAsia="仿宋_GB2312" w:cs="Times New Roman"/>
          <w:sz w:val="32"/>
          <w:szCs w:val="32"/>
        </w:rPr>
        <w:t>（二）事业预算收入</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下</w:t>
      </w:r>
      <w:r>
        <w:rPr>
          <w:rFonts w:ascii="Times New Roman" w:eastAsia="仿宋_GB2312" w:cs="Times New Roman"/>
          <w:sz w:val="32"/>
          <w:szCs w:val="32"/>
        </w:rPr>
        <w:t>增加</w:t>
      </w:r>
      <w:r>
        <w:rPr>
          <w:rFonts w:ascii="Times New Roman" w:hAnsi="Times New Roman" w:eastAsia="仿宋_GB2312" w:cs="Times New Roman"/>
          <w:sz w:val="32"/>
          <w:szCs w:val="32"/>
        </w:rPr>
        <w:t>“</w:t>
      </w:r>
      <w:r>
        <w:rPr>
          <w:rFonts w:ascii="Times New Roman" w:eastAsia="仿宋_GB2312" w:cs="Times New Roman"/>
          <w:sz w:val="32"/>
          <w:szCs w:val="32"/>
        </w:rPr>
        <w:t>其中：教育</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在“（九）其他预算收入”项目下“其中：”后所列项目中增加“后勤保障单位净预算收入”项目，</w:t>
      </w:r>
      <w:r>
        <w:rPr>
          <w:rFonts w:ascii="Times New Roman" w:eastAsia="仿宋_GB2312" w:cs="Times New Roman"/>
          <w:sz w:val="32"/>
          <w:szCs w:val="32"/>
        </w:rPr>
        <w:t>在</w:t>
      </w:r>
      <w:r>
        <w:rPr>
          <w:rFonts w:ascii="Times New Roman" w:hAnsi="Times New Roman" w:eastAsia="仿宋_GB2312" w:cs="Times New Roman"/>
          <w:sz w:val="32"/>
          <w:szCs w:val="32"/>
        </w:rPr>
        <w:t>“</w:t>
      </w:r>
      <w:r>
        <w:rPr>
          <w:rFonts w:ascii="Times New Roman" w:eastAsia="仿宋_GB2312" w:cs="Times New Roman"/>
          <w:sz w:val="32"/>
          <w:szCs w:val="32"/>
        </w:rPr>
        <w:t>（二）事业支出</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下</w:t>
      </w:r>
      <w:r>
        <w:rPr>
          <w:rFonts w:ascii="Times New Roman" w:eastAsia="仿宋_GB2312" w:cs="Times New Roman"/>
          <w:sz w:val="32"/>
          <w:szCs w:val="32"/>
        </w:rPr>
        <w:t>增加</w:t>
      </w:r>
      <w:r>
        <w:rPr>
          <w:rFonts w:ascii="Times New Roman" w:hAnsi="Times New Roman" w:eastAsia="仿宋_GB2312" w:cs="Times New Roman"/>
          <w:sz w:val="32"/>
          <w:szCs w:val="32"/>
        </w:rPr>
        <w:t>“</w:t>
      </w:r>
      <w:r>
        <w:rPr>
          <w:rFonts w:ascii="Times New Roman" w:eastAsia="仿宋_GB2312" w:cs="Times New Roman"/>
          <w:sz w:val="32"/>
          <w:szCs w:val="32"/>
        </w:rPr>
        <w:t>其中：教育支出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行政管理支出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后勤保障支出</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离退休支出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、“其他事业支出”</w:t>
      </w:r>
      <w:r>
        <w:rPr>
          <w:rFonts w:ascii="Times New Roman" w:eastAsia="仿宋_GB2312" w:cs="Times New Roman"/>
          <w:sz w:val="32"/>
          <w:szCs w:val="32"/>
        </w:rPr>
        <w:t>项目。</w:t>
      </w:r>
      <w:r>
        <w:rPr>
          <w:rFonts w:hint="eastAsia" w:ascii="Times New Roman" w:eastAsia="仿宋_GB2312" w:cs="Times New Roman"/>
          <w:sz w:val="32"/>
          <w:szCs w:val="32"/>
        </w:rPr>
        <w:t>详</w:t>
      </w:r>
      <w:r>
        <w:rPr>
          <w:rFonts w:ascii="Times New Roman" w:eastAsia="仿宋_GB2312" w:cs="Times New Roman"/>
          <w:sz w:val="32"/>
          <w:szCs w:val="32"/>
        </w:rPr>
        <w:t>见附表</w:t>
      </w:r>
      <w:r>
        <w:rPr>
          <w:rFonts w:ascii="Times New Roman" w:hAnsi="Times New Roman" w:eastAsia="仿宋_GB2312" w:cs="Times New Roman"/>
          <w:sz w:val="32"/>
          <w:szCs w:val="32"/>
        </w:rPr>
        <w:t>2</w:t>
      </w:r>
      <w:r>
        <w:rPr>
          <w:rFonts w:asci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2.新增</w:t>
      </w:r>
      <w:r>
        <w:rPr>
          <w:rFonts w:ascii="Times New Roman" w:eastAsia="仿宋_GB2312" w:cs="Times New Roman"/>
          <w:sz w:val="32"/>
          <w:szCs w:val="32"/>
        </w:rPr>
        <w:t>项目</w:t>
      </w:r>
      <w:r>
        <w:rPr>
          <w:rFonts w:hint="eastAsia" w:ascii="Times New Roman" w:eastAsia="仿宋_GB2312" w:cs="Times New Roman"/>
          <w:sz w:val="32"/>
          <w:szCs w:val="32"/>
        </w:rPr>
        <w:t>的内容和填列方法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其中：教育</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高等学校本期开展教学及其辅助活动取得现金流入。</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事业预算收入——</w:t>
      </w:r>
      <w:r>
        <w:rPr>
          <w:rFonts w:ascii="Times New Roman" w:eastAsia="仿宋_GB2312" w:cs="Times New Roman"/>
          <w:sz w:val="32"/>
          <w:szCs w:val="32"/>
        </w:rPr>
        <w:t>教育</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科目的本</w:t>
      </w:r>
      <w:r>
        <w:rPr>
          <w:rFonts w:hint="eastAsia" w:ascii="Times New Roman" w:eastAsia="仿宋_GB2312" w:cs="Times New Roman"/>
          <w:sz w:val="32"/>
          <w:szCs w:val="32"/>
        </w:rPr>
        <w:t>年</w:t>
      </w:r>
      <w:r>
        <w:rPr>
          <w:rFonts w:ascii="Times New Roman" w:eastAsia="仿宋_GB2312" w:cs="Times New Roman"/>
          <w:sz w:val="32"/>
          <w:szCs w:val="32"/>
        </w:rPr>
        <w:t>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项目，反映</w:t>
      </w:r>
      <w:r>
        <w:rPr>
          <w:rFonts w:ascii="Times New Roman" w:hAnsi="Times New Roman" w:eastAsia="仿宋_GB2312" w:cs="Times New Roman"/>
          <w:kern w:val="0"/>
          <w:sz w:val="32"/>
          <w:szCs w:val="32"/>
        </w:rPr>
        <w:t>高等学校本</w:t>
      </w:r>
      <w:r>
        <w:rPr>
          <w:rFonts w:hint="eastAsia" w:ascii="Times New Roman" w:hAnsi="Times New Roman" w:eastAsia="仿宋_GB2312" w:cs="Times New Roman"/>
          <w:kern w:val="0"/>
          <w:sz w:val="32"/>
          <w:szCs w:val="32"/>
        </w:rPr>
        <w:t>年</w:t>
      </w:r>
      <w:r>
        <w:rPr>
          <w:rFonts w:ascii="Times New Roman" w:hAnsi="Times New Roman" w:eastAsia="仿宋_GB2312" w:cs="Times New Roman"/>
          <w:kern w:val="0"/>
          <w:sz w:val="32"/>
          <w:szCs w:val="32"/>
        </w:rPr>
        <w:t>开展科研及其辅助活动取得现金流入。</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事业预算收入——</w:t>
      </w:r>
      <w:r>
        <w:rPr>
          <w:rFonts w:ascii="Times New Roman" w:eastAsia="仿宋_GB2312" w:cs="Times New Roman"/>
          <w:sz w:val="32"/>
          <w:szCs w:val="32"/>
        </w:rPr>
        <w:t>科研</w:t>
      </w:r>
      <w:r>
        <w:rPr>
          <w:rFonts w:hint="eastAsia" w:ascii="Times New Roman" w:eastAsia="仿宋_GB2312" w:cs="Times New Roman"/>
          <w:sz w:val="32"/>
          <w:szCs w:val="32"/>
        </w:rPr>
        <w:t>事业</w:t>
      </w:r>
      <w:r>
        <w:rPr>
          <w:rFonts w:ascii="Times New Roman" w:eastAsia="仿宋_GB2312" w:cs="Times New Roman"/>
          <w:sz w:val="32"/>
          <w:szCs w:val="32"/>
        </w:rPr>
        <w:t>预算收入</w:t>
      </w:r>
      <w:r>
        <w:rPr>
          <w:rFonts w:ascii="Times New Roman" w:hAnsi="Times New Roman" w:eastAsia="仿宋_GB2312" w:cs="Times New Roman"/>
          <w:sz w:val="32"/>
          <w:szCs w:val="32"/>
        </w:rPr>
        <w:t>”</w:t>
      </w:r>
      <w:r>
        <w:rPr>
          <w:rFonts w:ascii="Times New Roman" w:eastAsia="仿宋_GB2312" w:cs="Times New Roman"/>
          <w:sz w:val="32"/>
          <w:szCs w:val="32"/>
        </w:rPr>
        <w:t>科目的本</w:t>
      </w:r>
      <w:r>
        <w:rPr>
          <w:rFonts w:hint="eastAsia" w:ascii="Times New Roman" w:eastAsia="仿宋_GB2312" w:cs="Times New Roman"/>
          <w:sz w:val="32"/>
          <w:szCs w:val="32"/>
        </w:rPr>
        <w:t>年</w:t>
      </w:r>
      <w:r>
        <w:rPr>
          <w:rFonts w:ascii="Times New Roman" w:eastAsia="仿宋_GB2312" w:cs="Times New Roman"/>
          <w:sz w:val="32"/>
          <w:szCs w:val="32"/>
        </w:rPr>
        <w:t>发生额填列。</w:t>
      </w:r>
    </w:p>
    <w:p>
      <w:pPr>
        <w:spacing w:line="360" w:lineRule="auto"/>
        <w:ind w:firstLine="640" w:firstLineChars="200"/>
        <w:rPr>
          <w:rFonts w:asci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ascii="Times New Roman" w:eastAsia="仿宋_GB2312" w:cs="Times New Roman"/>
          <w:sz w:val="32"/>
          <w:szCs w:val="32"/>
        </w:rPr>
        <w:t>）</w:t>
      </w:r>
      <w:r>
        <w:rPr>
          <w:rFonts w:ascii="Times New Roman" w:hAnsi="Times New Roman" w:eastAsia="仿宋_GB2312" w:cs="Times New Roman"/>
          <w:sz w:val="32"/>
          <w:szCs w:val="32"/>
        </w:rPr>
        <w:t xml:space="preserve"> “</w:t>
      </w:r>
      <w:r>
        <w:rPr>
          <w:rFonts w:hint="eastAsia" w:ascii="Times New Roman" w:eastAsia="仿宋_GB2312" w:cs="Times New Roman"/>
          <w:sz w:val="32"/>
          <w:szCs w:val="32"/>
        </w:rPr>
        <w:t>后勤保障单位净预算</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w:t>
      </w:r>
      <w:r>
        <w:rPr>
          <w:rFonts w:hint="eastAsia" w:ascii="Times New Roman" w:eastAsia="仿宋_GB2312" w:cs="Times New Roman"/>
          <w:sz w:val="32"/>
          <w:szCs w:val="32"/>
        </w:rPr>
        <w:t>，详见“（三）关于校内独立核算单位报表编制的规定”。</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其中：教育支出</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w:t>
      </w:r>
      <w:r>
        <w:rPr>
          <w:rFonts w:hint="eastAsia" w:ascii="Times New Roman" w:eastAsia="仿宋_GB2312" w:cs="Times New Roman"/>
          <w:sz w:val="32"/>
          <w:szCs w:val="32"/>
        </w:rPr>
        <w:t>年</w:t>
      </w:r>
      <w:r>
        <w:rPr>
          <w:rFonts w:ascii="Times New Roman" w:eastAsia="仿宋_GB2312" w:cs="Times New Roman"/>
          <w:sz w:val="32"/>
          <w:szCs w:val="32"/>
        </w:rPr>
        <w:t>开展教学及其辅助活动</w:t>
      </w:r>
      <w:r>
        <w:rPr>
          <w:rFonts w:hint="eastAsia" w:ascii="Times New Roman" w:eastAsia="仿宋_GB2312" w:cs="Times New Roman"/>
          <w:sz w:val="32"/>
          <w:szCs w:val="32"/>
        </w:rPr>
        <w:t>、学生事务等活动</w:t>
      </w:r>
      <w:r>
        <w:rPr>
          <w:rFonts w:ascii="Times New Roman" w:eastAsia="仿宋_GB2312" w:cs="Times New Roman"/>
          <w:sz w:val="32"/>
          <w:szCs w:val="32"/>
        </w:rPr>
        <w:t>实际发生的各项现金流出。本项目应当根据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ascii="Times New Roman" w:eastAsia="仿宋_GB2312" w:cs="Times New Roman"/>
          <w:sz w:val="32"/>
          <w:szCs w:val="32"/>
        </w:rPr>
        <w:t>教育支出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科研支出</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w:t>
      </w:r>
      <w:r>
        <w:rPr>
          <w:rFonts w:hint="eastAsia" w:ascii="Times New Roman" w:eastAsia="仿宋_GB2312" w:cs="Times New Roman"/>
          <w:sz w:val="32"/>
          <w:szCs w:val="32"/>
        </w:rPr>
        <w:t>年</w:t>
      </w:r>
      <w:r>
        <w:rPr>
          <w:rFonts w:ascii="Times New Roman" w:eastAsia="仿宋_GB2312" w:cs="Times New Roman"/>
          <w:sz w:val="32"/>
          <w:szCs w:val="32"/>
        </w:rPr>
        <w:t>开展科研及其辅助活动实际发生的各项现金流出。本项目应当根据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ascii="Times New Roman" w:eastAsia="仿宋_GB2312" w:cs="Times New Roman"/>
          <w:sz w:val="32"/>
          <w:szCs w:val="32"/>
        </w:rPr>
        <w:t>科研支出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行政管理支出</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w:t>
      </w:r>
      <w:r>
        <w:rPr>
          <w:rFonts w:hint="eastAsia" w:ascii="Times New Roman" w:eastAsia="仿宋_GB2312" w:cs="Times New Roman"/>
          <w:sz w:val="32"/>
          <w:szCs w:val="32"/>
        </w:rPr>
        <w:t>年</w:t>
      </w:r>
      <w:r>
        <w:rPr>
          <w:rFonts w:ascii="Times New Roman" w:eastAsia="仿宋_GB2312" w:cs="Times New Roman"/>
          <w:sz w:val="32"/>
          <w:szCs w:val="32"/>
        </w:rPr>
        <w:t>开展单位的行政管理活动实际发生的各项现金流出。本项目应当根据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ascii="Times New Roman" w:eastAsia="仿宋_GB2312" w:cs="Times New Roman"/>
          <w:sz w:val="32"/>
          <w:szCs w:val="32"/>
        </w:rPr>
        <w:t>行政管理支出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后勤保障支出</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w:t>
      </w:r>
      <w:r>
        <w:rPr>
          <w:rFonts w:hint="eastAsia" w:ascii="Times New Roman" w:eastAsia="仿宋_GB2312" w:cs="Times New Roman"/>
          <w:sz w:val="32"/>
          <w:szCs w:val="32"/>
        </w:rPr>
        <w:t>年</w:t>
      </w:r>
      <w:r>
        <w:rPr>
          <w:rFonts w:ascii="Times New Roman" w:eastAsia="仿宋_GB2312" w:cs="Times New Roman"/>
          <w:sz w:val="32"/>
          <w:szCs w:val="32"/>
        </w:rPr>
        <w:t>开展后勤保障活动实际发生的各项现金流出。本项目应当根据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ascii="Times New Roman" w:eastAsia="仿宋_GB2312" w:cs="Times New Roman"/>
          <w:sz w:val="32"/>
          <w:szCs w:val="32"/>
        </w:rPr>
        <w:t>后勤保障支出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0" w:firstLineChars="200"/>
        <w:rPr>
          <w:rFonts w:asci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离退休支出</w:t>
      </w:r>
      <w:r>
        <w:rPr>
          <w:rFonts w:ascii="Times New Roman" w:hAnsi="Times New Roman" w:eastAsia="仿宋_GB2312" w:cs="Times New Roman"/>
          <w:sz w:val="32"/>
          <w:szCs w:val="32"/>
        </w:rPr>
        <w:t>”</w:t>
      </w:r>
      <w:r>
        <w:rPr>
          <w:rFonts w:ascii="Times New Roman" w:eastAsia="仿宋_GB2312" w:cs="Times New Roman"/>
          <w:sz w:val="32"/>
          <w:szCs w:val="32"/>
        </w:rPr>
        <w:t>项目，反映高等学校本</w:t>
      </w:r>
      <w:r>
        <w:rPr>
          <w:rFonts w:hint="eastAsia" w:ascii="Times New Roman" w:eastAsia="仿宋_GB2312" w:cs="Times New Roman"/>
          <w:sz w:val="32"/>
          <w:szCs w:val="32"/>
        </w:rPr>
        <w:t>年实际发生的用于</w:t>
      </w:r>
      <w:r>
        <w:rPr>
          <w:rFonts w:ascii="Times New Roman" w:hAnsi="Times New Roman" w:eastAsia="仿宋_GB2312" w:cs="Times New Roman"/>
          <w:kern w:val="0"/>
          <w:sz w:val="32"/>
          <w:szCs w:val="32"/>
        </w:rPr>
        <w:t>离退休</w:t>
      </w:r>
      <w:r>
        <w:rPr>
          <w:rFonts w:hint="eastAsia" w:ascii="Times New Roman" w:hAnsi="Times New Roman" w:eastAsia="仿宋_GB2312" w:cs="Times New Roman"/>
          <w:kern w:val="0"/>
          <w:sz w:val="32"/>
          <w:szCs w:val="32"/>
        </w:rPr>
        <w:t>人员</w:t>
      </w:r>
      <w:r>
        <w:rPr>
          <w:rFonts w:ascii="Times New Roman" w:hAnsi="Times New Roman" w:eastAsia="仿宋_GB2312" w:cs="Times New Roman"/>
          <w:kern w:val="0"/>
          <w:sz w:val="32"/>
          <w:szCs w:val="32"/>
        </w:rPr>
        <w:t>的</w:t>
      </w:r>
      <w:r>
        <w:rPr>
          <w:rFonts w:hint="eastAsia" w:ascii="Times New Roman" w:hAnsi="Times New Roman" w:eastAsia="仿宋_GB2312" w:cs="Times New Roman"/>
          <w:kern w:val="0"/>
          <w:sz w:val="32"/>
          <w:szCs w:val="32"/>
        </w:rPr>
        <w:t>各项</w:t>
      </w:r>
      <w:r>
        <w:rPr>
          <w:rFonts w:ascii="Times New Roman" w:eastAsia="仿宋_GB2312" w:cs="Times New Roman"/>
          <w:sz w:val="32"/>
          <w:szCs w:val="32"/>
        </w:rPr>
        <w:t>现金流出。本项目应当根据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ascii="Times New Roman" w:eastAsia="仿宋_GB2312" w:cs="Times New Roman"/>
          <w:sz w:val="32"/>
          <w:szCs w:val="32"/>
        </w:rPr>
        <w:t>离退休支出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（9）“其他事业支出”项目，</w:t>
      </w:r>
      <w:r>
        <w:rPr>
          <w:rFonts w:hint="eastAsia" w:ascii="Times New Roman" w:hAnsi="Times New Roman" w:eastAsia="仿宋_GB2312" w:cs="Times New Roman"/>
          <w:sz w:val="32"/>
          <w:szCs w:val="32"/>
        </w:rPr>
        <w:t>反映高等学校本年支付的除教学、科研、后勤保障、行政管理、离退休支出之外的其他各项事业支出。</w:t>
      </w:r>
      <w:r>
        <w:rPr>
          <w:rFonts w:ascii="Times New Roman" w:eastAsia="仿宋_GB2312" w:cs="Times New Roman"/>
          <w:sz w:val="32"/>
          <w:szCs w:val="32"/>
        </w:rPr>
        <w:t>本项目应当根据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事业支出——</w:t>
      </w:r>
      <w:r>
        <w:rPr>
          <w:rFonts w:hint="eastAsia" w:ascii="Times New Roman" w:eastAsia="仿宋_GB2312" w:cs="Times New Roman"/>
          <w:sz w:val="32"/>
          <w:szCs w:val="32"/>
        </w:rPr>
        <w:t>其他事业</w:t>
      </w:r>
      <w:r>
        <w:rPr>
          <w:rFonts w:ascii="Times New Roman" w:eastAsia="仿宋_GB2312" w:cs="Times New Roman"/>
          <w:sz w:val="32"/>
          <w:szCs w:val="32"/>
        </w:rPr>
        <w:t>支出</w:t>
      </w:r>
      <w:r>
        <w:rPr>
          <w:rFonts w:ascii="Times New Roman" w:hAnsi="Times New Roman" w:eastAsia="仿宋_GB2312" w:cs="Times New Roman"/>
          <w:sz w:val="32"/>
          <w:szCs w:val="32"/>
        </w:rPr>
        <w:t>”</w:t>
      </w:r>
      <w:r>
        <w:rPr>
          <w:rFonts w:ascii="Times New Roman" w:eastAsia="仿宋_GB2312" w:cs="Times New Roman"/>
          <w:sz w:val="32"/>
          <w:szCs w:val="32"/>
        </w:rPr>
        <w:t>科目的本年发生额填列。</w:t>
      </w:r>
    </w:p>
    <w:p>
      <w:pPr>
        <w:spacing w:line="360" w:lineRule="auto"/>
        <w:ind w:firstLine="643" w:firstLineChars="200"/>
        <w:rPr>
          <w:rFonts w:ascii="Times New Roman" w:hAnsi="Times New Roman" w:eastAsia="仿宋_GB2312" w:cs="Times New Roman"/>
          <w:b/>
          <w:sz w:val="32"/>
          <w:szCs w:val="32"/>
        </w:rPr>
      </w:pPr>
      <w:r>
        <w:rPr>
          <w:rFonts w:ascii="Times New Roman" w:eastAsia="仿宋_GB2312" w:cs="Times New Roman"/>
          <w:b/>
          <w:sz w:val="32"/>
          <w:szCs w:val="32"/>
        </w:rPr>
        <w:t>（三）关于</w:t>
      </w:r>
      <w:r>
        <w:rPr>
          <w:rFonts w:hint="eastAsia" w:ascii="Times New Roman" w:eastAsia="仿宋_GB2312" w:cs="Times New Roman"/>
          <w:b/>
          <w:sz w:val="32"/>
          <w:szCs w:val="32"/>
        </w:rPr>
        <w:t>校内独立核算单位</w:t>
      </w:r>
      <w:r>
        <w:rPr>
          <w:rFonts w:ascii="Times New Roman" w:eastAsia="仿宋_GB2312" w:cs="Times New Roman"/>
          <w:b/>
          <w:sz w:val="32"/>
          <w:szCs w:val="32"/>
        </w:rPr>
        <w:t>报表编制的规定</w:t>
      </w:r>
    </w:p>
    <w:p>
      <w:pPr>
        <w:spacing w:line="360" w:lineRule="auto"/>
        <w:ind w:firstLine="640" w:firstLineChars="200"/>
        <w:rPr>
          <w:rFonts w:ascii="Times New Roman" w:eastAsia="仿宋_GB2312" w:cs="Times New Roman"/>
          <w:sz w:val="32"/>
          <w:szCs w:val="32"/>
        </w:rPr>
      </w:pPr>
      <w:r>
        <w:rPr>
          <w:rFonts w:ascii="Times New Roman" w:eastAsia="仿宋_GB2312" w:cs="Times New Roman"/>
          <w:sz w:val="32"/>
          <w:szCs w:val="32"/>
        </w:rPr>
        <w:t>1.关于高等学校报表</w:t>
      </w:r>
      <w:r>
        <w:rPr>
          <w:rFonts w:hint="eastAsia" w:ascii="Times New Roman" w:eastAsia="仿宋_GB2312" w:cs="Times New Roman"/>
          <w:sz w:val="32"/>
          <w:szCs w:val="32"/>
        </w:rPr>
        <w:t>编制</w:t>
      </w:r>
      <w:r>
        <w:rPr>
          <w:rFonts w:ascii="Times New Roman" w:eastAsia="仿宋_GB2312" w:cs="Times New Roman"/>
          <w:sz w:val="32"/>
          <w:szCs w:val="32"/>
        </w:rPr>
        <w:t>的范围</w:t>
      </w:r>
    </w:p>
    <w:p>
      <w:pPr>
        <w:spacing w:line="360" w:lineRule="auto"/>
        <w:ind w:firstLine="640" w:firstLineChars="200"/>
        <w:rPr>
          <w:rFonts w:ascii="Times New Roman" w:eastAsia="仿宋_GB2312" w:cs="Times New Roman"/>
          <w:sz w:val="32"/>
          <w:szCs w:val="32"/>
        </w:rPr>
      </w:pPr>
      <w:r>
        <w:rPr>
          <w:rFonts w:ascii="Times New Roman" w:eastAsia="仿宋_GB2312" w:cs="Times New Roman"/>
          <w:sz w:val="32"/>
          <w:szCs w:val="32"/>
        </w:rPr>
        <w:t>由高等学校及其所属单位举办的校内独立核算单位</w:t>
      </w:r>
      <w:r>
        <w:rPr>
          <w:rStyle w:val="20"/>
          <w:rFonts w:ascii="Times New Roman" w:hAnsi="Times New Roman" w:eastAsia="仿宋_GB2312" w:cs="Times New Roman"/>
          <w:sz w:val="32"/>
          <w:szCs w:val="32"/>
        </w:rPr>
        <w:footnoteReference w:id="1"/>
      </w:r>
      <w:r>
        <w:rPr>
          <w:rFonts w:ascii="Times New Roman" w:eastAsia="仿宋_GB2312" w:cs="Times New Roman"/>
          <w:sz w:val="32"/>
          <w:szCs w:val="32"/>
        </w:rPr>
        <w:t>，如研究院、分校、后勤部门等，</w:t>
      </w:r>
      <w:r>
        <w:rPr>
          <w:rFonts w:hint="eastAsia" w:ascii="Times New Roman" w:eastAsia="仿宋_GB2312" w:cs="Times New Roman"/>
          <w:sz w:val="32"/>
          <w:szCs w:val="32"/>
        </w:rPr>
        <w:t>应当按照新</w:t>
      </w:r>
      <w:r>
        <w:rPr>
          <w:rFonts w:ascii="Times New Roman" w:eastAsia="仿宋_GB2312" w:cs="Times New Roman"/>
          <w:sz w:val="32"/>
          <w:szCs w:val="32"/>
        </w:rPr>
        <w:t>制度</w:t>
      </w:r>
      <w:r>
        <w:rPr>
          <w:rFonts w:hint="eastAsia" w:ascii="Times New Roman" w:eastAsia="仿宋_GB2312" w:cs="Times New Roman"/>
          <w:sz w:val="32"/>
          <w:szCs w:val="32"/>
        </w:rPr>
        <w:t>开展本单位的会计核算和报表编制工作。</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高等学校在编制年度报表时，应当将校内独立核算单位</w:t>
      </w:r>
      <w:r>
        <w:rPr>
          <w:rFonts w:ascii="Times New Roman" w:eastAsia="仿宋_GB2312" w:cs="Times New Roman"/>
          <w:sz w:val="32"/>
          <w:szCs w:val="32"/>
        </w:rPr>
        <w:t>纳入</w:t>
      </w:r>
      <w:r>
        <w:rPr>
          <w:rFonts w:hint="eastAsia" w:ascii="Times New Roman" w:eastAsia="仿宋_GB2312" w:cs="Times New Roman"/>
          <w:sz w:val="32"/>
          <w:szCs w:val="32"/>
        </w:rPr>
        <w:t>高等</w:t>
      </w:r>
      <w:r>
        <w:rPr>
          <w:rFonts w:ascii="Times New Roman" w:eastAsia="仿宋_GB2312" w:cs="Times New Roman"/>
          <w:sz w:val="32"/>
          <w:szCs w:val="32"/>
        </w:rPr>
        <w:t>学校报表编制范围</w:t>
      </w:r>
      <w:r>
        <w:rPr>
          <w:rFonts w:hint="eastAsia" w:ascii="Times New Roman" w:eastAsia="仿宋_GB2312" w:cs="Times New Roman"/>
          <w:sz w:val="32"/>
          <w:szCs w:val="32"/>
        </w:rPr>
        <w:t>。</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2.关于将校内独立核算单位会计信息纳入高等学校报表的总原则</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将校内独立核算单位的会计信息纳入高等学校报表时，总的原则是将校内独立核算单位的报表信息并入学校相关报表的相应项目，并抵销学校内部业务或事项对学校报表的影响</w:t>
      </w:r>
      <w:r>
        <w:rPr>
          <w:rFonts w:ascii="Times New Roman" w:eastAsia="仿宋_GB2312" w:cs="Times New Roman"/>
          <w:sz w:val="32"/>
          <w:szCs w:val="32"/>
        </w:rPr>
        <w:t>。</w:t>
      </w:r>
    </w:p>
    <w:p>
      <w:pPr>
        <w:spacing w:line="360" w:lineRule="auto"/>
        <w:ind w:firstLine="640" w:firstLineChars="200"/>
        <w:rPr>
          <w:rFonts w:asci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ascii="Times New Roman" w:eastAsia="仿宋_GB2312" w:cs="Times New Roman"/>
          <w:sz w:val="32"/>
          <w:szCs w:val="32"/>
        </w:rPr>
        <w:t xml:space="preserve"> </w:t>
      </w:r>
      <w:r>
        <w:rPr>
          <w:rFonts w:hint="eastAsia" w:ascii="Times New Roman" w:eastAsia="仿宋_GB2312" w:cs="Times New Roman"/>
          <w:sz w:val="32"/>
          <w:szCs w:val="32"/>
        </w:rPr>
        <w:t>关于</w:t>
      </w:r>
      <w:r>
        <w:rPr>
          <w:rFonts w:ascii="Times New Roman" w:eastAsia="仿宋_GB2312" w:cs="Times New Roman"/>
          <w:sz w:val="32"/>
          <w:szCs w:val="32"/>
        </w:rPr>
        <w:t>具有后勤保障职能的校内独立核算单位</w:t>
      </w:r>
      <w:r>
        <w:rPr>
          <w:rStyle w:val="20"/>
          <w:rFonts w:ascii="Times New Roman" w:hAnsi="Times New Roman" w:eastAsia="仿宋_GB2312" w:cs="Times New Roman"/>
          <w:sz w:val="32"/>
          <w:szCs w:val="32"/>
        </w:rPr>
        <w:footnoteReference w:id="2"/>
      </w:r>
      <w:r>
        <w:rPr>
          <w:rFonts w:hint="eastAsia" w:ascii="Times New Roman" w:eastAsia="仿宋_GB2312" w:cs="Times New Roman"/>
          <w:sz w:val="32"/>
          <w:szCs w:val="32"/>
        </w:rPr>
        <w:t>有关业务的特殊规定</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（1）</w:t>
      </w:r>
      <w:r>
        <w:rPr>
          <w:rFonts w:ascii="Times New Roman" w:eastAsia="仿宋_GB2312" w:cs="Times New Roman"/>
          <w:sz w:val="32"/>
          <w:szCs w:val="32"/>
        </w:rPr>
        <w:t>高等学校编制包含校内独立核算单位的</w:t>
      </w:r>
      <w:r>
        <w:rPr>
          <w:rFonts w:hint="eastAsia" w:ascii="Times New Roman" w:eastAsia="仿宋_GB2312" w:cs="Times New Roman"/>
          <w:sz w:val="32"/>
          <w:szCs w:val="32"/>
        </w:rPr>
        <w:t>收入费用</w:t>
      </w:r>
      <w:r>
        <w:rPr>
          <w:rFonts w:ascii="Times New Roman" w:eastAsia="仿宋_GB2312" w:cs="Times New Roman"/>
          <w:sz w:val="32"/>
          <w:szCs w:val="32"/>
        </w:rPr>
        <w:t>表时，对于具有后勤保障职能的校内独立核算单位，应当将其本年收入（不含从学校取得的补贴经费）、费用（不含使用学校补贴经费发生的费用）相抵后的净额计入本表中</w:t>
      </w:r>
      <w:r>
        <w:rPr>
          <w:rFonts w:ascii="Times New Roman" w:hAnsi="Times New Roman" w:eastAsia="仿宋_GB2312" w:cs="Times New Roman"/>
          <w:sz w:val="32"/>
          <w:szCs w:val="32"/>
        </w:rPr>
        <w:t>“</w:t>
      </w:r>
      <w:r>
        <w:rPr>
          <w:rFonts w:ascii="Times New Roman" w:eastAsia="仿宋_GB2312" w:cs="Times New Roman"/>
          <w:sz w:val="32"/>
          <w:szCs w:val="32"/>
        </w:rPr>
        <w:t>其他收入</w:t>
      </w:r>
      <w:r>
        <w:rPr>
          <w:rFonts w:ascii="Times New Roman" w:hAnsi="Times New Roman" w:eastAsia="仿宋_GB2312" w:cs="Times New Roman"/>
          <w:sz w:val="32"/>
          <w:szCs w:val="32"/>
        </w:rPr>
        <w:t>”</w:t>
      </w:r>
      <w:r>
        <w:rPr>
          <w:rFonts w:ascii="Times New Roman" w:eastAsia="仿宋_GB2312" w:cs="Times New Roman"/>
          <w:sz w:val="32"/>
          <w:szCs w:val="32"/>
        </w:rPr>
        <w:t>项目金额，并</w:t>
      </w:r>
      <w:r>
        <w:rPr>
          <w:rFonts w:hint="eastAsia" w:ascii="Times New Roman" w:eastAsia="仿宋_GB2312" w:cs="Times New Roman"/>
          <w:sz w:val="32"/>
          <w:szCs w:val="32"/>
        </w:rPr>
        <w:t>单独填列于该</w:t>
      </w:r>
      <w:r>
        <w:rPr>
          <w:rFonts w:ascii="Times New Roman" w:eastAsia="仿宋_GB2312" w:cs="Times New Roman"/>
          <w:sz w:val="32"/>
          <w:szCs w:val="32"/>
        </w:rPr>
        <w:t>项目下的</w:t>
      </w:r>
      <w:r>
        <w:rPr>
          <w:rFonts w:ascii="Times New Roman" w:hAnsi="Times New Roman" w:eastAsia="仿宋_GB2312" w:cs="Times New Roman"/>
          <w:sz w:val="32"/>
          <w:szCs w:val="32"/>
        </w:rPr>
        <w:t>“</w:t>
      </w:r>
      <w:r>
        <w:rPr>
          <w:rFonts w:ascii="Times New Roman" w:eastAsia="仿宋_GB2312" w:cs="Times New Roman"/>
          <w:sz w:val="32"/>
          <w:szCs w:val="32"/>
        </w:rPr>
        <w:t>后勤保障单位净收入</w:t>
      </w:r>
      <w:r>
        <w:rPr>
          <w:rFonts w:ascii="Times New Roman" w:hAnsi="Times New Roman" w:eastAsia="仿宋_GB2312" w:cs="Times New Roman"/>
          <w:sz w:val="32"/>
          <w:szCs w:val="32"/>
        </w:rPr>
        <w:t>”</w:t>
      </w:r>
      <w:r>
        <w:rPr>
          <w:rFonts w:hint="eastAsia" w:ascii="Times New Roman" w:eastAsia="仿宋_GB2312" w:cs="Times New Roman"/>
          <w:sz w:val="32"/>
          <w:szCs w:val="32"/>
        </w:rPr>
        <w:t>项目</w:t>
      </w:r>
      <w:r>
        <w:rPr>
          <w:rFonts w:ascii="Times New Roman" w:eastAsia="仿宋_GB2312" w:cs="Times New Roman"/>
          <w:sz w:val="32"/>
          <w:szCs w:val="32"/>
        </w:rPr>
        <w:t>。如果具有后勤保障职能的全部校内独立核算单位本年收入（不含从学校取得的补贴经费）、费用（不含使用学校补贴经费发生的费用）相抵后的净额合计数为负数，则以</w:t>
      </w:r>
      <w:r>
        <w:rPr>
          <w:rFonts w:ascii="Times New Roman" w:hAnsi="Times New Roman" w:eastAsia="仿宋_GB2312" w:cs="Times New Roman"/>
          <w:sz w:val="32"/>
          <w:szCs w:val="32"/>
        </w:rPr>
        <w:t>“-”</w:t>
      </w:r>
      <w:r>
        <w:rPr>
          <w:rFonts w:ascii="Times New Roman" w:eastAsia="仿宋_GB2312" w:cs="Times New Roman"/>
          <w:sz w:val="32"/>
          <w:szCs w:val="32"/>
        </w:rPr>
        <w:t>号填列于</w:t>
      </w:r>
      <w:r>
        <w:rPr>
          <w:rFonts w:ascii="Times New Roman" w:hAnsi="Times New Roman" w:eastAsia="仿宋_GB2312" w:cs="Times New Roman"/>
          <w:sz w:val="32"/>
          <w:szCs w:val="32"/>
        </w:rPr>
        <w:t>“</w:t>
      </w:r>
      <w:r>
        <w:rPr>
          <w:rFonts w:hint="eastAsia" w:ascii="Times New Roman" w:eastAsia="仿宋_GB2312" w:cs="Times New Roman"/>
          <w:sz w:val="32"/>
          <w:szCs w:val="32"/>
        </w:rPr>
        <w:t>后勤保障单位净</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w:t>
      </w:r>
    </w:p>
    <w:p>
      <w:pPr>
        <w:spacing w:line="360" w:lineRule="auto"/>
        <w:ind w:firstLine="640" w:firstLineChars="200"/>
        <w:rPr>
          <w:rFonts w:asci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eastAsia="仿宋_GB2312" w:cs="Times New Roman"/>
          <w:sz w:val="32"/>
          <w:szCs w:val="32"/>
        </w:rPr>
        <w:t>高等学校编制包含校内独立核算单位的预算收入支出表时，对于具有后勤保障职能的校内独立核算单位，应当将其本年收入（不含从学校取得的补贴经费）、支出（不含使用学校补贴经费发生的支出）相抵后的净额计入本表中</w:t>
      </w:r>
      <w:r>
        <w:rPr>
          <w:rFonts w:ascii="Times New Roman" w:hAnsi="Times New Roman" w:eastAsia="仿宋_GB2312" w:cs="Times New Roman"/>
          <w:sz w:val="32"/>
          <w:szCs w:val="32"/>
        </w:rPr>
        <w:t>“</w:t>
      </w:r>
      <w:r>
        <w:rPr>
          <w:rFonts w:ascii="Times New Roman" w:eastAsia="仿宋_GB2312" w:cs="Times New Roman"/>
          <w:sz w:val="32"/>
          <w:szCs w:val="32"/>
        </w:rPr>
        <w:t>其他预算收入</w:t>
      </w:r>
      <w:r>
        <w:rPr>
          <w:rFonts w:ascii="Times New Roman" w:hAnsi="Times New Roman" w:eastAsia="仿宋_GB2312" w:cs="Times New Roman"/>
          <w:sz w:val="32"/>
          <w:szCs w:val="32"/>
        </w:rPr>
        <w:t>”</w:t>
      </w:r>
      <w:r>
        <w:rPr>
          <w:rFonts w:ascii="Times New Roman" w:eastAsia="仿宋_GB2312" w:cs="Times New Roman"/>
          <w:sz w:val="32"/>
          <w:szCs w:val="32"/>
        </w:rPr>
        <w:t>项目金额，并</w:t>
      </w:r>
      <w:r>
        <w:rPr>
          <w:rFonts w:hint="eastAsia" w:ascii="Times New Roman" w:eastAsia="仿宋_GB2312" w:cs="Times New Roman"/>
          <w:sz w:val="32"/>
          <w:szCs w:val="32"/>
        </w:rPr>
        <w:t>单独填列于</w:t>
      </w:r>
      <w:r>
        <w:rPr>
          <w:rFonts w:ascii="Times New Roman" w:eastAsia="仿宋_GB2312" w:cs="Times New Roman"/>
          <w:sz w:val="32"/>
          <w:szCs w:val="32"/>
        </w:rPr>
        <w:t>该项目下的</w:t>
      </w:r>
      <w:r>
        <w:rPr>
          <w:rFonts w:ascii="Times New Roman" w:hAnsi="Times New Roman" w:eastAsia="仿宋_GB2312" w:cs="Times New Roman"/>
          <w:sz w:val="32"/>
          <w:szCs w:val="32"/>
        </w:rPr>
        <w:t>“</w:t>
      </w:r>
      <w:r>
        <w:rPr>
          <w:rFonts w:ascii="Times New Roman" w:eastAsia="仿宋_GB2312" w:cs="Times New Roman"/>
          <w:sz w:val="32"/>
          <w:szCs w:val="32"/>
        </w:rPr>
        <w:t>后勤保障单位净</w:t>
      </w:r>
      <w:r>
        <w:rPr>
          <w:rFonts w:hint="eastAsia" w:ascii="Times New Roman" w:eastAsia="仿宋_GB2312" w:cs="Times New Roman"/>
          <w:sz w:val="32"/>
          <w:szCs w:val="32"/>
        </w:rPr>
        <w:t>预算</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hint="eastAsia" w:ascii="Times New Roman" w:eastAsia="仿宋_GB2312" w:cs="Times New Roman"/>
          <w:sz w:val="32"/>
          <w:szCs w:val="32"/>
        </w:rPr>
        <w:t>项目</w:t>
      </w:r>
      <w:r>
        <w:rPr>
          <w:rFonts w:ascii="Times New Roman" w:eastAsia="仿宋_GB2312" w:cs="Times New Roman"/>
          <w:sz w:val="32"/>
          <w:szCs w:val="32"/>
        </w:rPr>
        <w:t>。如果具有后勤保障职能的全部校内独立核算单位本年收入（不含从学校取得的补贴经费）、支出（不含使用学校补贴经费发生的支出）相抵后的净额合计数为负数，则以</w:t>
      </w:r>
      <w:r>
        <w:rPr>
          <w:rFonts w:ascii="Times New Roman" w:hAnsi="Times New Roman" w:eastAsia="仿宋_GB2312" w:cs="Times New Roman"/>
          <w:sz w:val="32"/>
          <w:szCs w:val="32"/>
        </w:rPr>
        <w:t>“-”</w:t>
      </w:r>
      <w:r>
        <w:rPr>
          <w:rFonts w:ascii="Times New Roman" w:eastAsia="仿宋_GB2312" w:cs="Times New Roman"/>
          <w:sz w:val="32"/>
          <w:szCs w:val="32"/>
        </w:rPr>
        <w:t>号填列于</w:t>
      </w:r>
      <w:r>
        <w:rPr>
          <w:rFonts w:ascii="Times New Roman" w:hAnsi="Times New Roman" w:eastAsia="仿宋_GB2312" w:cs="Times New Roman"/>
          <w:sz w:val="32"/>
          <w:szCs w:val="32"/>
        </w:rPr>
        <w:t>“</w:t>
      </w:r>
      <w:r>
        <w:rPr>
          <w:rFonts w:hint="eastAsia" w:ascii="Times New Roman" w:eastAsia="仿宋_GB2312" w:cs="Times New Roman"/>
          <w:sz w:val="32"/>
          <w:szCs w:val="32"/>
        </w:rPr>
        <w:t>后勤保障单位净预算</w:t>
      </w:r>
      <w:r>
        <w:rPr>
          <w:rFonts w:ascii="Times New Roman" w:eastAsia="仿宋_GB2312" w:cs="Times New Roman"/>
          <w:sz w:val="32"/>
          <w:szCs w:val="32"/>
        </w:rPr>
        <w:t>收入</w:t>
      </w:r>
      <w:r>
        <w:rPr>
          <w:rFonts w:ascii="Times New Roman" w:hAnsi="Times New Roman" w:eastAsia="仿宋_GB2312" w:cs="Times New Roman"/>
          <w:sz w:val="32"/>
          <w:szCs w:val="32"/>
        </w:rPr>
        <w:t>”</w:t>
      </w:r>
      <w:r>
        <w:rPr>
          <w:rFonts w:ascii="Times New Roman" w:eastAsia="仿宋_GB2312" w:cs="Times New Roman"/>
          <w:sz w:val="32"/>
          <w:szCs w:val="32"/>
        </w:rPr>
        <w:t>项目。</w:t>
      </w:r>
    </w:p>
    <w:p>
      <w:pPr>
        <w:spacing w:line="360" w:lineRule="auto"/>
        <w:ind w:firstLine="640" w:firstLineChars="200"/>
        <w:rPr>
          <w:rFonts w:ascii="Times New Roman" w:eastAsia="仿宋_GB2312" w:cs="Times New Roman"/>
          <w:b/>
          <w:sz w:val="32"/>
          <w:szCs w:val="32"/>
        </w:rPr>
      </w:pPr>
      <w:r>
        <w:rPr>
          <w:rFonts w:hint="eastAsia" w:ascii="Times New Roman" w:eastAsia="仿宋_GB2312" w:cs="Times New Roman"/>
          <w:sz w:val="32"/>
          <w:szCs w:val="32"/>
        </w:rPr>
        <w:t>4.关于将校内独立核算单位会计信息纳入高等学校财务报表情况的披露</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高等学校应当在年度财务报表附注中提供将校内独立核算单位财务会计信息纳入学校财务报表情况的说明，包括将校内独立核算单位资产、负债和净资产并入学校资产负债表时对内部业务或事项抵销处理的情况，具有后勤保障职能的各校内独立核算单位本年收入、费用情况，将不具有后勤保障职能的其他校内独立核算单位的收入、费用并入学校收入费用表时对内部业务或事项抵销处理的情况。</w:t>
      </w:r>
    </w:p>
    <w:p>
      <w:pPr>
        <w:spacing w:line="360" w:lineRule="auto"/>
        <w:ind w:firstLine="640" w:firstLineChars="200"/>
        <w:rPr>
          <w:rFonts w:ascii="仿宋" w:hAnsi="仿宋" w:eastAsia="仿宋"/>
          <w:snapToGrid w:val="0"/>
          <w:kern w:val="0"/>
          <w:sz w:val="32"/>
          <w:szCs w:val="32"/>
        </w:rPr>
      </w:pPr>
      <w:r>
        <w:rPr>
          <w:rFonts w:hint="eastAsia" w:ascii="仿宋" w:hAnsi="仿宋" w:eastAsia="仿宋"/>
          <w:snapToGrid w:val="0"/>
          <w:kern w:val="0"/>
          <w:sz w:val="32"/>
          <w:szCs w:val="32"/>
        </w:rPr>
        <w:t>高等学校在编制年度预算会计报表时，可参照上述规定，以适当形式提供将校内独立核算单位预算会计信息纳入高等学校预算会计报表的说明。</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、关于留本基金</w:t>
      </w:r>
      <w:r>
        <w:rPr>
          <w:rFonts w:hint="eastAsia" w:ascii="黑体" w:hAnsi="黑体" w:eastAsia="黑体" w:cs="Times New Roman"/>
          <w:sz w:val="32"/>
          <w:szCs w:val="32"/>
        </w:rPr>
        <w:t>的会计处理</w:t>
      </w:r>
    </w:p>
    <w:p>
      <w:pPr>
        <w:spacing w:line="360" w:lineRule="auto"/>
        <w:ind w:firstLine="643" w:firstLineChars="200"/>
        <w:rPr>
          <w:rFonts w:ascii="Times New Roman" w:hAnsi="Times New Roman" w:eastAsia="仿宋_GB2312" w:cs="Times New Roman"/>
          <w:b/>
          <w:sz w:val="32"/>
          <w:szCs w:val="32"/>
        </w:rPr>
      </w:pPr>
      <w:r>
        <w:rPr>
          <w:rFonts w:ascii="Times New Roman" w:eastAsia="仿宋_GB2312" w:cs="Times New Roman"/>
          <w:b/>
          <w:sz w:val="32"/>
          <w:szCs w:val="32"/>
        </w:rPr>
        <w:t>（一）</w:t>
      </w:r>
      <w:r>
        <w:rPr>
          <w:rFonts w:hint="eastAsia" w:ascii="Times New Roman" w:eastAsia="仿宋_GB2312" w:cs="Times New Roman"/>
          <w:b/>
          <w:sz w:val="32"/>
          <w:szCs w:val="32"/>
        </w:rPr>
        <w:t>会计</w:t>
      </w:r>
      <w:r>
        <w:rPr>
          <w:rFonts w:ascii="Times New Roman" w:eastAsia="仿宋_GB2312" w:cs="Times New Roman"/>
          <w:b/>
          <w:sz w:val="32"/>
          <w:szCs w:val="32"/>
        </w:rPr>
        <w:t>科目设置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高等学校应当</w:t>
      </w:r>
      <w:r>
        <w:rPr>
          <w:rFonts w:ascii="Times New Roman" w:eastAsia="仿宋_GB2312" w:cs="Times New Roman"/>
          <w:sz w:val="32"/>
          <w:szCs w:val="32"/>
        </w:rPr>
        <w:t>在</w:t>
      </w:r>
      <w:r>
        <w:rPr>
          <w:rFonts w:ascii="Times New Roman" w:hAnsi="Times New Roman" w:eastAsia="仿宋_GB2312" w:cs="Times New Roman"/>
          <w:sz w:val="32"/>
          <w:szCs w:val="32"/>
        </w:rPr>
        <w:t>“3101</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科目下设置</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明细</w:t>
      </w:r>
      <w:r>
        <w:rPr>
          <w:rFonts w:ascii="Times New Roman" w:eastAsia="仿宋_GB2312" w:cs="Times New Roman"/>
          <w:sz w:val="32"/>
          <w:szCs w:val="32"/>
        </w:rPr>
        <w:t>科目，核算高等学校使用捐赠资金建立的具有永久性保留本金或在一定时期内保留本金的限定性基金。</w:t>
      </w:r>
      <w:r>
        <w:rPr>
          <w:rFonts w:hint="eastAsia" w:ascii="Times New Roman" w:eastAsia="仿宋_GB2312" w:cs="Times New Roman"/>
          <w:sz w:val="32"/>
          <w:szCs w:val="32"/>
        </w:rPr>
        <w:t>高等学校如有两个以上留本基金，应当按照每个留本基金设置明细科目进行核算。</w:t>
      </w:r>
      <w:r>
        <w:rPr>
          <w:rFonts w:ascii="Times New Roman" w:eastAsia="仿宋_GB2312" w:cs="Times New Roman"/>
          <w:sz w:val="32"/>
          <w:szCs w:val="32"/>
        </w:rPr>
        <w:t>在每个留本基金明细科目下还应当设置</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和</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明细科目；在</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明细科目下，还应当设置</w:t>
      </w:r>
      <w:r>
        <w:rPr>
          <w:rFonts w:ascii="Times New Roman" w:hAnsi="Times New Roman" w:eastAsia="仿宋_GB2312" w:cs="Times New Roman"/>
          <w:sz w:val="32"/>
          <w:szCs w:val="32"/>
        </w:rPr>
        <w:t>“</w:t>
      </w:r>
      <w:r>
        <w:rPr>
          <w:rFonts w:ascii="Times New Roman" w:eastAsia="仿宋_GB2312" w:cs="Times New Roman"/>
          <w:sz w:val="32"/>
          <w:szCs w:val="32"/>
        </w:rPr>
        <w:t>已投资</w:t>
      </w:r>
      <w:r>
        <w:rPr>
          <w:rFonts w:ascii="Times New Roman" w:hAnsi="Times New Roman" w:eastAsia="仿宋_GB2312" w:cs="Times New Roman"/>
          <w:sz w:val="32"/>
          <w:szCs w:val="32"/>
        </w:rPr>
        <w:t>”</w:t>
      </w:r>
      <w:r>
        <w:rPr>
          <w:rFonts w:ascii="Times New Roman" w:eastAsia="仿宋_GB2312" w:cs="Times New Roman"/>
          <w:sz w:val="32"/>
          <w:szCs w:val="32"/>
        </w:rPr>
        <w:t>和</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两个明细科目。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高等学校应当</w:t>
      </w:r>
      <w:r>
        <w:rPr>
          <w:rFonts w:ascii="Times New Roman" w:eastAsia="仿宋_GB2312" w:cs="Times New Roman"/>
          <w:sz w:val="32"/>
          <w:szCs w:val="32"/>
        </w:rPr>
        <w:t>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1218 其他应收款</w:t>
      </w:r>
      <w:r>
        <w:rPr>
          <w:rFonts w:ascii="Times New Roman" w:hAnsi="Times New Roman" w:eastAsia="仿宋_GB2312" w:cs="Times New Roman"/>
          <w:sz w:val="32"/>
          <w:szCs w:val="32"/>
        </w:rPr>
        <w:t>”</w:t>
      </w:r>
      <w:r>
        <w:rPr>
          <w:rFonts w:ascii="Times New Roman" w:eastAsia="仿宋_GB2312" w:cs="Times New Roman"/>
          <w:sz w:val="32"/>
          <w:szCs w:val="32"/>
        </w:rPr>
        <w:t>科目下设置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留本基金</w:t>
      </w:r>
      <w:r>
        <w:rPr>
          <w:rFonts w:ascii="Times New Roman" w:eastAsia="仿宋_GB2312" w:cs="Times New Roman"/>
          <w:sz w:val="32"/>
          <w:szCs w:val="32"/>
        </w:rPr>
        <w:t>委托投资</w:t>
      </w:r>
      <w:r>
        <w:rPr>
          <w:rFonts w:ascii="Times New Roman" w:hAnsi="Times New Roman" w:eastAsia="仿宋_GB2312" w:cs="Times New Roman"/>
          <w:sz w:val="32"/>
          <w:szCs w:val="32"/>
        </w:rPr>
        <w:t>”</w:t>
      </w:r>
      <w:r>
        <w:rPr>
          <w:rFonts w:hint="eastAsia" w:ascii="Times New Roman" w:eastAsia="仿宋_GB2312" w:cs="Times New Roman"/>
          <w:sz w:val="32"/>
          <w:szCs w:val="32"/>
        </w:rPr>
        <w:t>明细</w:t>
      </w:r>
      <w:r>
        <w:rPr>
          <w:rFonts w:ascii="Times New Roman" w:eastAsia="仿宋_GB2312" w:cs="Times New Roman"/>
          <w:sz w:val="32"/>
          <w:szCs w:val="32"/>
        </w:rPr>
        <w:t>科目，核算高等学校将留本基金委托给基金会进行的投资。</w:t>
      </w:r>
    </w:p>
    <w:p>
      <w:pPr>
        <w:spacing w:line="360" w:lineRule="auto"/>
        <w:ind w:firstLine="643" w:firstLineChars="200"/>
        <w:rPr>
          <w:rFonts w:ascii="Times New Roman" w:hAnsi="Times New Roman" w:eastAsia="仿宋_GB2312" w:cs="Times New Roman"/>
          <w:sz w:val="32"/>
          <w:szCs w:val="32"/>
        </w:rPr>
      </w:pPr>
      <w:r>
        <w:rPr>
          <w:rFonts w:ascii="Times New Roman" w:eastAsia="仿宋_GB2312" w:cs="Times New Roman"/>
          <w:b/>
          <w:sz w:val="32"/>
          <w:szCs w:val="32"/>
        </w:rPr>
        <w:t>（二）主要账务处理</w:t>
      </w:r>
      <w:r>
        <w:rPr>
          <w:rFonts w:ascii="Times New Roman" w:eastAsia="仿宋_GB2312" w:cs="Times New Roman"/>
          <w:sz w:val="32"/>
          <w:szCs w:val="32"/>
        </w:rPr>
        <w:t>（假设只有一个留本基金）</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高等学校</w:t>
      </w:r>
      <w:r>
        <w:rPr>
          <w:rFonts w:ascii="Times New Roman" w:eastAsia="仿宋_GB2312" w:cs="Times New Roman"/>
          <w:sz w:val="32"/>
          <w:szCs w:val="32"/>
        </w:rPr>
        <w:t>形成留本基金时，根据取得的留本基金数额，借记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eastAsia="仿宋_GB2312" w:cs="Times New Roman"/>
          <w:sz w:val="32"/>
          <w:szCs w:val="32"/>
        </w:rPr>
        <w:t>高等学校委托基金会进行投资</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eastAsia="仿宋_GB2312" w:cs="Times New Roman"/>
          <w:sz w:val="32"/>
          <w:szCs w:val="32"/>
        </w:rPr>
        <w:t>）投资时，按照转给基金会的留本基金数额，借记</w:t>
      </w:r>
      <w:r>
        <w:rPr>
          <w:rFonts w:ascii="Times New Roman" w:hAnsi="Times New Roman" w:eastAsia="仿宋_GB2312" w:cs="Times New Roman"/>
          <w:sz w:val="32"/>
          <w:szCs w:val="32"/>
        </w:rPr>
        <w:t>“</w:t>
      </w:r>
      <w:r>
        <w:rPr>
          <w:rFonts w:hint="eastAsia" w:ascii="Times New Roman" w:eastAsia="仿宋_GB2312" w:cs="Times New Roman"/>
          <w:sz w:val="32"/>
          <w:szCs w:val="32"/>
        </w:rPr>
        <w:t>其他应收款</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留本基金</w:t>
      </w:r>
      <w:r>
        <w:rPr>
          <w:rFonts w:hint="eastAsia" w:ascii="Times New Roman" w:eastAsia="仿宋_GB2312" w:cs="Times New Roman"/>
          <w:sz w:val="32"/>
          <w:szCs w:val="32"/>
        </w:rPr>
        <w:t>委托投资</w:t>
      </w:r>
      <w:r>
        <w:rPr>
          <w:rFonts w:ascii="Times New Roman" w:hAnsi="Times New Roman" w:eastAsia="仿宋_GB2312" w:cs="Times New Roman"/>
          <w:sz w:val="32"/>
          <w:szCs w:val="32"/>
        </w:rPr>
        <w:t>”</w:t>
      </w:r>
      <w:r>
        <w:rPr>
          <w:rFonts w:hint="eastAsia" w:ascii="Times New Roman" w:eastAsia="仿宋_GB2312" w:cs="Times New Roman"/>
          <w:sz w:val="32"/>
          <w:szCs w:val="32"/>
        </w:rPr>
        <w:t>科目，</w:t>
      </w:r>
      <w:r>
        <w:rPr>
          <w:rFonts w:ascii="Times New Roman" w:eastAsia="仿宋_GB2312" w:cs="Times New Roman"/>
          <w:sz w:val="32"/>
          <w:szCs w:val="32"/>
        </w:rPr>
        <w:t>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科目；同时，按照相同的金额，借记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已投资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2</w:t>
      </w:r>
      <w:r>
        <w:rPr>
          <w:rFonts w:ascii="Times New Roman" w:eastAsia="仿宋_GB2312" w:cs="Times New Roman"/>
          <w:sz w:val="32"/>
          <w:szCs w:val="32"/>
        </w:rPr>
        <w:t>）收到基金会交回的投资收益，按照实际收到的金额，借记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3</w:t>
      </w:r>
      <w:r>
        <w:rPr>
          <w:rFonts w:ascii="Times New Roman" w:eastAsia="仿宋_GB2312" w:cs="Times New Roman"/>
          <w:sz w:val="32"/>
          <w:szCs w:val="32"/>
        </w:rPr>
        <w:t>）从基金会收回使用留本基金委托的投资，按照收回的金额，借记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科目，按照收回的留本基金本金金额，贷记</w:t>
      </w:r>
      <w:r>
        <w:rPr>
          <w:rFonts w:ascii="Times New Roman" w:hAnsi="Times New Roman" w:eastAsia="仿宋_GB2312" w:cs="Times New Roman"/>
          <w:sz w:val="32"/>
          <w:szCs w:val="32"/>
        </w:rPr>
        <w:t>“</w:t>
      </w:r>
      <w:r>
        <w:rPr>
          <w:rFonts w:hint="eastAsia" w:ascii="Times New Roman" w:eastAsia="仿宋_GB2312" w:cs="Times New Roman"/>
          <w:sz w:val="32"/>
          <w:szCs w:val="32"/>
        </w:rPr>
        <w:t>其他应收款</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留本基金</w:t>
      </w:r>
      <w:r>
        <w:rPr>
          <w:rFonts w:ascii="Times New Roman" w:eastAsia="仿宋_GB2312" w:cs="Times New Roman"/>
          <w:sz w:val="32"/>
          <w:szCs w:val="32"/>
        </w:rPr>
        <w:t>委托投资</w:t>
      </w:r>
      <w:r>
        <w:rPr>
          <w:rFonts w:ascii="Times New Roman" w:hAnsi="Times New Roman" w:eastAsia="仿宋_GB2312" w:cs="Times New Roman"/>
          <w:sz w:val="32"/>
          <w:szCs w:val="32"/>
        </w:rPr>
        <w:t>”</w:t>
      </w:r>
      <w:r>
        <w:rPr>
          <w:rFonts w:ascii="Times New Roman" w:eastAsia="仿宋_GB2312" w:cs="Times New Roman"/>
          <w:sz w:val="32"/>
          <w:szCs w:val="32"/>
        </w:rPr>
        <w:t>科目，按照两者的差额，贷记或借记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科目。同时，按照收回的留本基金本金金额，借记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已投资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eastAsia="仿宋_GB2312" w:cs="Times New Roman"/>
          <w:sz w:val="32"/>
          <w:szCs w:val="32"/>
        </w:rPr>
        <w:t>高等学校直接使用留本基金进行投资</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1</w:t>
      </w:r>
      <w:r>
        <w:rPr>
          <w:rFonts w:ascii="Times New Roman" w:eastAsia="仿宋_GB2312" w:cs="Times New Roman"/>
          <w:sz w:val="32"/>
          <w:szCs w:val="32"/>
        </w:rPr>
        <w:t>）投资时，按照动用留本基金投资的数额，借记</w:t>
      </w:r>
      <w:r>
        <w:rPr>
          <w:rFonts w:ascii="Times New Roman" w:hAnsi="Times New Roman" w:eastAsia="仿宋_GB2312" w:cs="Times New Roman"/>
          <w:sz w:val="32"/>
          <w:szCs w:val="32"/>
        </w:rPr>
        <w:t>“</w:t>
      </w:r>
      <w:r>
        <w:rPr>
          <w:rFonts w:ascii="Times New Roman" w:eastAsia="仿宋_GB2312" w:cs="Times New Roman"/>
          <w:sz w:val="32"/>
          <w:szCs w:val="32"/>
        </w:rPr>
        <w:t>短期投资</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长期债券投资</w:t>
      </w:r>
      <w:r>
        <w:rPr>
          <w:rFonts w:ascii="Times New Roman" w:hAnsi="Times New Roman" w:eastAsia="仿宋_GB2312" w:cs="Times New Roman"/>
          <w:sz w:val="32"/>
          <w:szCs w:val="32"/>
        </w:rPr>
        <w:t>”</w:t>
      </w:r>
      <w:r>
        <w:rPr>
          <w:rFonts w:ascii="Times New Roman" w:eastAsia="仿宋_GB2312" w:cs="Times New Roman"/>
          <w:sz w:val="32"/>
          <w:szCs w:val="32"/>
        </w:rPr>
        <w:t>等科目，贷记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科目；同时，按照相同的金额，借记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已投资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2</w:t>
      </w:r>
      <w:r>
        <w:rPr>
          <w:rFonts w:ascii="Times New Roman" w:eastAsia="仿宋_GB2312" w:cs="Times New Roman"/>
          <w:sz w:val="32"/>
          <w:szCs w:val="32"/>
        </w:rPr>
        <w:t>）期末，对持有的留本基金投资确认应计利息收入时，按照确认的应计利息，借记</w:t>
      </w:r>
      <w:r>
        <w:rPr>
          <w:rFonts w:ascii="Times New Roman" w:hAnsi="Times New Roman" w:eastAsia="仿宋_GB2312" w:cs="Times New Roman"/>
          <w:sz w:val="32"/>
          <w:szCs w:val="32"/>
        </w:rPr>
        <w:t>“</w:t>
      </w:r>
      <w:r>
        <w:rPr>
          <w:rFonts w:ascii="Times New Roman" w:eastAsia="仿宋_GB2312" w:cs="Times New Roman"/>
          <w:sz w:val="32"/>
          <w:szCs w:val="32"/>
        </w:rPr>
        <w:t>应收利息</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长期债券投资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3</w:t>
      </w:r>
      <w:r>
        <w:rPr>
          <w:rFonts w:ascii="Times New Roman" w:eastAsia="仿宋_GB2312" w:cs="Times New Roman"/>
          <w:sz w:val="32"/>
          <w:szCs w:val="32"/>
        </w:rPr>
        <w:t>）收到留本基金投资获得的利息时，按照实际收到的金额，借记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应收利息</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w:t>
      </w:r>
      <w:r>
        <w:rPr>
          <w:rFonts w:ascii="Times New Roman" w:hAnsi="Times New Roman" w:eastAsia="仿宋_GB2312" w:cs="Times New Roman"/>
          <w:sz w:val="32"/>
          <w:szCs w:val="32"/>
        </w:rPr>
        <w:t>4</w:t>
      </w:r>
      <w:r>
        <w:rPr>
          <w:rFonts w:ascii="Times New Roman" w:eastAsia="仿宋_GB2312" w:cs="Times New Roman"/>
          <w:sz w:val="32"/>
          <w:szCs w:val="32"/>
        </w:rPr>
        <w:t>）收回留本基金投资时，按照收回的金额，借记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科目，按照收回的</w:t>
      </w:r>
      <w:r>
        <w:rPr>
          <w:rFonts w:hint="eastAsia" w:ascii="Times New Roman" w:eastAsia="仿宋_GB2312" w:cs="Times New Roman"/>
          <w:sz w:val="32"/>
          <w:szCs w:val="32"/>
        </w:rPr>
        <w:t>投资</w:t>
      </w:r>
      <w:r>
        <w:rPr>
          <w:rFonts w:ascii="Times New Roman" w:eastAsia="仿宋_GB2312" w:cs="Times New Roman"/>
          <w:sz w:val="32"/>
          <w:szCs w:val="32"/>
        </w:rPr>
        <w:t>本金</w:t>
      </w:r>
      <w:r>
        <w:rPr>
          <w:rFonts w:hint="eastAsia" w:ascii="Times New Roman" w:eastAsia="仿宋_GB2312" w:cs="Times New Roman"/>
          <w:sz w:val="32"/>
          <w:szCs w:val="32"/>
        </w:rPr>
        <w:t>及相关利息</w:t>
      </w:r>
      <w:r>
        <w:rPr>
          <w:rFonts w:ascii="Times New Roman" w:eastAsia="仿宋_GB2312" w:cs="Times New Roman"/>
          <w:sz w:val="32"/>
          <w:szCs w:val="32"/>
        </w:rPr>
        <w:t>金额，贷记</w:t>
      </w:r>
      <w:r>
        <w:rPr>
          <w:rFonts w:ascii="Times New Roman" w:hAnsi="Times New Roman" w:eastAsia="仿宋_GB2312" w:cs="Times New Roman"/>
          <w:sz w:val="32"/>
          <w:szCs w:val="32"/>
        </w:rPr>
        <w:t>“</w:t>
      </w:r>
      <w:r>
        <w:rPr>
          <w:rFonts w:ascii="Times New Roman" w:eastAsia="仿宋_GB2312" w:cs="Times New Roman"/>
          <w:sz w:val="32"/>
          <w:szCs w:val="32"/>
        </w:rPr>
        <w:t>短期投资</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长期债券投资</w:t>
      </w:r>
      <w:r>
        <w:rPr>
          <w:rFonts w:ascii="Times New Roman" w:hAnsi="Times New Roman" w:eastAsia="仿宋_GB2312" w:cs="Times New Roman"/>
          <w:sz w:val="32"/>
          <w:szCs w:val="32"/>
        </w:rPr>
        <w:t>”</w:t>
      </w:r>
      <w:r>
        <w:rPr>
          <w:rFonts w:ascii="Times New Roman" w:eastAsia="仿宋_GB2312" w:cs="Times New Roman"/>
          <w:sz w:val="32"/>
          <w:szCs w:val="32"/>
        </w:rPr>
        <w:t>等科目，按照两者的差额，贷记或借记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科目。同时，按照收回的留本基金本金金额，借记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已投资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eastAsia="仿宋_GB2312" w:cs="Times New Roman"/>
          <w:sz w:val="32"/>
          <w:szCs w:val="32"/>
        </w:rPr>
        <w:t>高等学校按照协议将留本基金收益转增本金时，按照转增的金额，借记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本金</w:t>
      </w:r>
      <w:r>
        <w:rPr>
          <w:rFonts w:ascii="Times New Roman" w:hAnsi="Times New Roman" w:eastAsia="仿宋_GB2312" w:cs="Times New Roman"/>
          <w:sz w:val="32"/>
          <w:szCs w:val="32"/>
        </w:rPr>
        <w:t>——</w:t>
      </w:r>
      <w:r>
        <w:rPr>
          <w:rFonts w:ascii="Times New Roman" w:eastAsia="仿宋_GB2312" w:cs="Times New Roman"/>
          <w:sz w:val="32"/>
          <w:szCs w:val="32"/>
        </w:rPr>
        <w:t>未投资</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eastAsia="仿宋_GB2312" w:cs="Times New Roman"/>
          <w:sz w:val="32"/>
          <w:szCs w:val="32"/>
        </w:rPr>
        <w:t>高等学校按照协议可以使用留本基金取得的收益时，按照可以使用的金额，借记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ascii="Times New Roman" w:hAnsi="Times New Roman" w:eastAsia="仿宋_GB2312" w:cs="Times New Roman"/>
          <w:sz w:val="32"/>
          <w:szCs w:val="32"/>
        </w:rPr>
        <w:t>——</w:t>
      </w:r>
      <w:r>
        <w:rPr>
          <w:rFonts w:ascii="Times New Roman" w:eastAsia="仿宋_GB2312" w:cs="Times New Roman"/>
          <w:sz w:val="32"/>
          <w:szCs w:val="32"/>
        </w:rPr>
        <w:t>收益</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捐赠收入</w:t>
      </w:r>
      <w:r>
        <w:rPr>
          <w:rFonts w:ascii="Times New Roman" w:hAnsi="Times New Roman" w:eastAsia="仿宋_GB2312" w:cs="Times New Roman"/>
          <w:sz w:val="32"/>
          <w:szCs w:val="32"/>
        </w:rPr>
        <w:t>”</w:t>
      </w:r>
      <w:r>
        <w:rPr>
          <w:rFonts w:ascii="Times New Roman" w:eastAsia="仿宋_GB2312" w:cs="Times New Roman"/>
          <w:sz w:val="32"/>
          <w:szCs w:val="32"/>
        </w:rPr>
        <w:t>科目；同时，按照相同的金额，借记</w:t>
      </w:r>
      <w:r>
        <w:rPr>
          <w:rFonts w:ascii="Times New Roman" w:hAnsi="Times New Roman" w:eastAsia="仿宋_GB2312" w:cs="Times New Roman"/>
          <w:sz w:val="32"/>
          <w:szCs w:val="32"/>
        </w:rPr>
        <w:t>“</w:t>
      </w:r>
      <w:r>
        <w:rPr>
          <w:rFonts w:ascii="Times New Roman" w:eastAsia="仿宋_GB2312" w:cs="Times New Roman"/>
          <w:sz w:val="32"/>
          <w:szCs w:val="32"/>
        </w:rPr>
        <w:t>资金结存</w:t>
      </w:r>
      <w:r>
        <w:rPr>
          <w:rFonts w:ascii="Times New Roman" w:hAnsi="Times New Roman" w:eastAsia="仿宋_GB2312" w:cs="Times New Roman"/>
          <w:sz w:val="32"/>
          <w:szCs w:val="32"/>
        </w:rPr>
        <w:t>——</w:t>
      </w:r>
      <w:r>
        <w:rPr>
          <w:rFonts w:ascii="Times New Roman" w:eastAsia="仿宋_GB2312" w:cs="Times New Roman"/>
          <w:sz w:val="32"/>
          <w:szCs w:val="32"/>
        </w:rPr>
        <w:t>货币资金</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捐赠预算收入</w:t>
      </w:r>
      <w:r>
        <w:rPr>
          <w:rFonts w:ascii="Times New Roman" w:hAnsi="Times New Roman" w:eastAsia="仿宋_GB2312" w:cs="Times New Roman"/>
          <w:sz w:val="32"/>
          <w:szCs w:val="32"/>
        </w:rPr>
        <w:t>”</w:t>
      </w:r>
      <w:r>
        <w:rPr>
          <w:rFonts w:ascii="Times New Roman" w:eastAsia="仿宋_GB2312" w:cs="Times New Roman"/>
          <w:sz w:val="32"/>
          <w:szCs w:val="32"/>
        </w:rPr>
        <w:t>科目。使用留本基金收益时，按照使用的金额，借记</w:t>
      </w:r>
      <w:r>
        <w:rPr>
          <w:rFonts w:ascii="Times New Roman" w:hAnsi="Times New Roman" w:eastAsia="仿宋_GB2312" w:cs="Times New Roman"/>
          <w:sz w:val="32"/>
          <w:szCs w:val="32"/>
        </w:rPr>
        <w:t>“</w:t>
      </w:r>
      <w:r>
        <w:rPr>
          <w:rFonts w:ascii="Times New Roman" w:eastAsia="仿宋_GB2312" w:cs="Times New Roman"/>
          <w:sz w:val="32"/>
          <w:szCs w:val="32"/>
        </w:rPr>
        <w:t>业务活动费用</w:t>
      </w:r>
      <w:r>
        <w:rPr>
          <w:rFonts w:ascii="Times New Roman" w:hAnsi="Times New Roman" w:eastAsia="仿宋_GB2312" w:cs="Times New Roman"/>
          <w:sz w:val="32"/>
          <w:szCs w:val="32"/>
        </w:rPr>
        <w:t>”</w:t>
      </w:r>
      <w:r>
        <w:rPr>
          <w:rFonts w:ascii="Times New Roman" w:eastAsia="仿宋_GB2312" w:cs="Times New Roman"/>
          <w:sz w:val="32"/>
          <w:szCs w:val="32"/>
        </w:rPr>
        <w:t>等科目，贷记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等科目；同时，</w:t>
      </w:r>
      <w:r>
        <w:rPr>
          <w:rFonts w:hint="eastAsia" w:ascii="Times New Roman" w:eastAsia="仿宋_GB2312" w:cs="Times New Roman"/>
          <w:sz w:val="32"/>
          <w:szCs w:val="32"/>
        </w:rPr>
        <w:t>借记</w:t>
      </w:r>
      <w:r>
        <w:rPr>
          <w:rFonts w:ascii="Times New Roman" w:hAnsi="Times New Roman" w:eastAsia="仿宋_GB2312" w:cs="Times New Roman"/>
          <w:sz w:val="32"/>
          <w:szCs w:val="32"/>
        </w:rPr>
        <w:t>“</w:t>
      </w:r>
      <w:r>
        <w:rPr>
          <w:rFonts w:hint="eastAsia" w:ascii="Times New Roman" w:eastAsia="仿宋_GB2312" w:cs="Times New Roman"/>
          <w:sz w:val="32"/>
          <w:szCs w:val="32"/>
        </w:rPr>
        <w:t>事业支出——教育支出</w:t>
      </w:r>
      <w:r>
        <w:rPr>
          <w:rFonts w:ascii="Times New Roman" w:hAnsi="Times New Roman" w:eastAsia="仿宋_GB2312" w:cs="Times New Roman"/>
          <w:sz w:val="32"/>
          <w:szCs w:val="32"/>
        </w:rPr>
        <w:t>”</w:t>
      </w:r>
      <w:r>
        <w:rPr>
          <w:rFonts w:hint="eastAsia" w:ascii="Times New Roman" w:eastAsia="仿宋_GB2312" w:cs="Times New Roman"/>
          <w:sz w:val="32"/>
          <w:szCs w:val="32"/>
        </w:rPr>
        <w:t>等科</w:t>
      </w:r>
      <w:r>
        <w:rPr>
          <w:rFonts w:ascii="Times New Roman" w:eastAsia="仿宋_GB2312" w:cs="Times New Roman"/>
          <w:sz w:val="32"/>
          <w:szCs w:val="32"/>
        </w:rPr>
        <w:t>目，贷记</w:t>
      </w:r>
      <w:r>
        <w:rPr>
          <w:rFonts w:ascii="Times New Roman" w:hAnsi="Times New Roman" w:eastAsia="仿宋_GB2312" w:cs="Times New Roman"/>
          <w:sz w:val="32"/>
          <w:szCs w:val="32"/>
        </w:rPr>
        <w:t>“</w:t>
      </w:r>
      <w:r>
        <w:rPr>
          <w:rFonts w:ascii="Times New Roman" w:eastAsia="仿宋_GB2312" w:cs="Times New Roman"/>
          <w:sz w:val="32"/>
          <w:szCs w:val="32"/>
        </w:rPr>
        <w:t>资金结存</w:t>
      </w:r>
      <w:r>
        <w:rPr>
          <w:rFonts w:ascii="Times New Roman" w:hAnsi="Times New Roman" w:eastAsia="仿宋_GB2312" w:cs="Times New Roman"/>
          <w:sz w:val="32"/>
          <w:szCs w:val="32"/>
        </w:rPr>
        <w:t>——</w:t>
      </w:r>
      <w:r>
        <w:rPr>
          <w:rFonts w:ascii="Times New Roman" w:eastAsia="仿宋_GB2312" w:cs="Times New Roman"/>
          <w:sz w:val="32"/>
          <w:szCs w:val="32"/>
        </w:rPr>
        <w:t>货币资金</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eastAsia="仿宋_GB2312" w:cs="Times New Roman"/>
          <w:sz w:val="32"/>
          <w:szCs w:val="32"/>
        </w:rPr>
        <w:t>按照协议规定的留本基金限定期限到期，高等学校将留本基金转为可以使用的资金，按照转为可以使用的资金数额，借记</w:t>
      </w:r>
      <w:r>
        <w:rPr>
          <w:rFonts w:ascii="Times New Roman" w:hAnsi="Times New Roman" w:eastAsia="仿宋_GB2312" w:cs="Times New Roman"/>
          <w:sz w:val="32"/>
          <w:szCs w:val="32"/>
        </w:rPr>
        <w:t>“</w:t>
      </w:r>
      <w:r>
        <w:rPr>
          <w:rFonts w:ascii="Times New Roman" w:eastAsia="仿宋_GB2312" w:cs="Times New Roman"/>
          <w:sz w:val="32"/>
          <w:szCs w:val="32"/>
        </w:rPr>
        <w:t>专用基金</w:t>
      </w:r>
      <w:r>
        <w:rPr>
          <w:rFonts w:ascii="Times New Roman" w:hAnsi="Times New Roman" w:eastAsia="仿宋_GB2312" w:cs="Times New Roman"/>
          <w:sz w:val="32"/>
          <w:szCs w:val="32"/>
        </w:rPr>
        <w:t>——</w:t>
      </w:r>
      <w:r>
        <w:rPr>
          <w:rFonts w:ascii="Times New Roman" w:eastAsia="仿宋_GB2312" w:cs="Times New Roman"/>
          <w:sz w:val="32"/>
          <w:szCs w:val="32"/>
        </w:rPr>
        <w:t>留本基金</w:t>
      </w:r>
      <w:r>
        <w:rPr>
          <w:rFonts w:hint="eastAsia" w:ascii="Times New Roman" w:eastAsia="仿宋_GB2312" w:cs="Times New Roman"/>
          <w:sz w:val="32"/>
          <w:szCs w:val="32"/>
        </w:rPr>
        <w:t>——本金——未投资</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捐赠收入</w:t>
      </w:r>
      <w:r>
        <w:rPr>
          <w:rFonts w:ascii="Times New Roman" w:hAnsi="Times New Roman" w:eastAsia="仿宋_GB2312" w:cs="Times New Roman"/>
          <w:sz w:val="32"/>
          <w:szCs w:val="32"/>
        </w:rPr>
        <w:t>”</w:t>
      </w:r>
      <w:r>
        <w:rPr>
          <w:rFonts w:ascii="Times New Roman" w:eastAsia="仿宋_GB2312" w:cs="Times New Roman"/>
          <w:sz w:val="32"/>
          <w:szCs w:val="32"/>
        </w:rPr>
        <w:t>科目；同时按照相同的金额，借记</w:t>
      </w:r>
      <w:r>
        <w:rPr>
          <w:rFonts w:ascii="Times New Roman" w:hAnsi="Times New Roman" w:eastAsia="仿宋_GB2312" w:cs="Times New Roman"/>
          <w:sz w:val="32"/>
          <w:szCs w:val="32"/>
        </w:rPr>
        <w:t>“</w:t>
      </w:r>
      <w:r>
        <w:rPr>
          <w:rFonts w:ascii="Times New Roman" w:eastAsia="仿宋_GB2312" w:cs="Times New Roman"/>
          <w:sz w:val="32"/>
          <w:szCs w:val="32"/>
        </w:rPr>
        <w:t>资金结存</w:t>
      </w:r>
      <w:r>
        <w:rPr>
          <w:rFonts w:ascii="Times New Roman" w:hAnsi="Times New Roman" w:eastAsia="仿宋_GB2312" w:cs="Times New Roman"/>
          <w:sz w:val="32"/>
          <w:szCs w:val="32"/>
        </w:rPr>
        <w:t>——</w:t>
      </w:r>
      <w:r>
        <w:rPr>
          <w:rFonts w:ascii="Times New Roman" w:eastAsia="仿宋_GB2312" w:cs="Times New Roman"/>
          <w:sz w:val="32"/>
          <w:szCs w:val="32"/>
        </w:rPr>
        <w:t>货币资金</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捐赠预算收入</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四</w:t>
      </w:r>
      <w:r>
        <w:rPr>
          <w:rFonts w:ascii="黑体" w:hAnsi="黑体" w:eastAsia="黑体" w:cs="Times New Roman"/>
          <w:sz w:val="32"/>
          <w:szCs w:val="32"/>
        </w:rPr>
        <w:t>、关于</w:t>
      </w:r>
      <w:r>
        <w:rPr>
          <w:rFonts w:hint="eastAsia" w:ascii="黑体" w:hAnsi="黑体" w:eastAsia="黑体" w:cs="Times New Roman"/>
          <w:sz w:val="32"/>
          <w:szCs w:val="32"/>
        </w:rPr>
        <w:t>受托代理业务的账务处理</w:t>
      </w:r>
    </w:p>
    <w:p>
      <w:pPr>
        <w:spacing w:line="360" w:lineRule="auto"/>
        <w:ind w:firstLine="643" w:firstLineChars="200"/>
        <w:rPr>
          <w:rFonts w:ascii="Times New Roman" w:hAnsi="Times New Roman" w:eastAsia="仿宋_GB2312" w:cs="Times New Roman"/>
          <w:sz w:val="32"/>
          <w:szCs w:val="32"/>
        </w:rPr>
      </w:pPr>
      <w:r>
        <w:rPr>
          <w:rFonts w:hint="eastAsia" w:ascii="Times New Roman" w:eastAsia="仿宋_GB2312" w:cs="Times New Roman"/>
          <w:b/>
          <w:sz w:val="32"/>
          <w:szCs w:val="32"/>
        </w:rPr>
        <w:t>（一）</w:t>
      </w:r>
      <w:r>
        <w:rPr>
          <w:rFonts w:ascii="Times New Roman" w:eastAsia="仿宋_GB2312" w:cs="Times New Roman"/>
          <w:sz w:val="32"/>
          <w:szCs w:val="32"/>
        </w:rPr>
        <w:t>高等学校</w:t>
      </w:r>
      <w:r>
        <w:rPr>
          <w:rFonts w:hint="eastAsia" w:ascii="Times New Roman" w:eastAsia="仿宋_GB2312" w:cs="Times New Roman"/>
          <w:sz w:val="32"/>
          <w:szCs w:val="32"/>
        </w:rPr>
        <w:t>应当</w:t>
      </w:r>
      <w:r>
        <w:rPr>
          <w:rFonts w:ascii="Times New Roman" w:eastAsia="仿宋_GB2312" w:cs="Times New Roman"/>
          <w:sz w:val="32"/>
          <w:szCs w:val="32"/>
        </w:rPr>
        <w:t>在</w:t>
      </w:r>
      <w:r>
        <w:rPr>
          <w:rFonts w:hint="eastAsia" w:ascii="Times New Roman" w:eastAsia="仿宋_GB2312" w:cs="Times New Roman"/>
          <w:sz w:val="32"/>
          <w:szCs w:val="32"/>
        </w:rPr>
        <w:t>“</w:t>
      </w:r>
      <w:r>
        <w:rPr>
          <w:rFonts w:ascii="Times New Roman" w:hAnsi="Times New Roman" w:eastAsia="仿宋_GB2312" w:cs="Times New Roman"/>
          <w:sz w:val="32"/>
          <w:szCs w:val="32"/>
        </w:rPr>
        <w:t>1891</w:t>
      </w:r>
      <w:r>
        <w:rPr>
          <w:rFonts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hint="eastAsia" w:ascii="Times New Roman" w:eastAsia="仿宋_GB2312" w:cs="Times New Roman"/>
          <w:sz w:val="32"/>
          <w:szCs w:val="32"/>
        </w:rPr>
        <w:t>下设置</w:t>
      </w:r>
      <w:r>
        <w:rPr>
          <w:rFonts w:ascii="Times New Roman" w:hAnsi="Times New Roman" w:eastAsia="仿宋_GB2312" w:cs="Times New Roman"/>
          <w:sz w:val="32"/>
          <w:szCs w:val="32"/>
        </w:rPr>
        <w:t>“</w:t>
      </w:r>
      <w:r>
        <w:rPr>
          <w:rFonts w:ascii="Times New Roman" w:eastAsia="仿宋_GB2312" w:cs="Times New Roman"/>
          <w:sz w:val="32"/>
          <w:szCs w:val="32"/>
        </w:rPr>
        <w:t>应收及暂付款</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固定资产</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无形资产</w:t>
      </w:r>
      <w:r>
        <w:rPr>
          <w:rFonts w:ascii="Times New Roman" w:hAnsi="Times New Roman" w:eastAsia="仿宋_GB2312" w:cs="Times New Roman"/>
          <w:sz w:val="32"/>
          <w:szCs w:val="32"/>
        </w:rPr>
        <w:t>”</w:t>
      </w:r>
      <w:r>
        <w:rPr>
          <w:rFonts w:ascii="Times New Roman" w:eastAsia="仿宋_GB2312" w:cs="Times New Roman"/>
          <w:sz w:val="32"/>
          <w:szCs w:val="32"/>
        </w:rPr>
        <w:t>明细科目。</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1.</w:t>
      </w:r>
      <w:r>
        <w:rPr>
          <w:rFonts w:ascii="Times New Roman" w:eastAsia="仿宋_GB2312" w:cs="Times New Roman"/>
          <w:sz w:val="32"/>
          <w:szCs w:val="32"/>
        </w:rPr>
        <w:t>发生涉及受托代理资金的各种应收及暂付款项时，按照实际发生金额，借记</w:t>
      </w:r>
      <w:r>
        <w:rPr>
          <w:rFonts w:hint="eastAsia" w:ascii="Times New Roman" w:eastAsia="仿宋_GB2312" w:cs="Times New Roman"/>
          <w:sz w:val="32"/>
          <w:szCs w:val="32"/>
        </w:rPr>
        <w:t>“受托代理资产——</w:t>
      </w:r>
      <w:r>
        <w:rPr>
          <w:rFonts w:ascii="Times New Roman" w:eastAsia="仿宋_GB2312" w:cs="Times New Roman"/>
          <w:sz w:val="32"/>
          <w:szCs w:val="32"/>
        </w:rPr>
        <w:t>应收及暂付款</w:t>
      </w:r>
      <w:r>
        <w:rPr>
          <w:rFonts w:hint="eastAsia" w:ascii="Times New Roman" w:eastAsia="仿宋_GB2312" w:cs="Times New Roman"/>
          <w:sz w:val="32"/>
          <w:szCs w:val="32"/>
        </w:rPr>
        <w:t>”科目</w:t>
      </w:r>
      <w:r>
        <w:rPr>
          <w:rFonts w:ascii="Times New Roman" w:eastAsia="仿宋_GB2312" w:cs="Times New Roman"/>
          <w:sz w:val="32"/>
          <w:szCs w:val="32"/>
        </w:rPr>
        <w:t>，贷记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库存现金</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等科目；收回其他应收款项或报销时，借记</w:t>
      </w:r>
      <w:r>
        <w:rPr>
          <w:rFonts w:ascii="Times New Roman" w:hAnsi="Times New Roman" w:eastAsia="仿宋_GB2312" w:cs="Times New Roman"/>
          <w:sz w:val="32"/>
          <w:szCs w:val="32"/>
        </w:rPr>
        <w:t>“</w:t>
      </w:r>
      <w:r>
        <w:rPr>
          <w:rFonts w:ascii="Times New Roman" w:eastAsia="仿宋_GB2312" w:cs="Times New Roman"/>
          <w:sz w:val="32"/>
          <w:szCs w:val="32"/>
        </w:rPr>
        <w:t>库存现金</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 xml:space="preserve"> “</w:t>
      </w:r>
      <w:r>
        <w:rPr>
          <w:rFonts w:ascii="Times New Roman" w:eastAsia="仿宋_GB2312" w:cs="Times New Roman"/>
          <w:sz w:val="32"/>
          <w:szCs w:val="32"/>
        </w:rPr>
        <w:t>银行存款</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受托代理负债</w:t>
      </w:r>
      <w:r>
        <w:rPr>
          <w:rFonts w:ascii="Times New Roman" w:hAnsi="Times New Roman" w:eastAsia="仿宋_GB2312" w:cs="Times New Roman"/>
          <w:sz w:val="32"/>
          <w:szCs w:val="32"/>
        </w:rPr>
        <w:t>”</w:t>
      </w:r>
      <w:r>
        <w:rPr>
          <w:rFonts w:ascii="Times New Roman" w:eastAsia="仿宋_GB2312" w:cs="Times New Roman"/>
          <w:sz w:val="32"/>
          <w:szCs w:val="32"/>
        </w:rPr>
        <w:t>等科目，贷记</w:t>
      </w:r>
      <w:r>
        <w:rPr>
          <w:rFonts w:hint="eastAsia" w:ascii="Times New Roman" w:eastAsia="仿宋_GB2312" w:cs="Times New Roman"/>
          <w:sz w:val="32"/>
          <w:szCs w:val="32"/>
        </w:rPr>
        <w:t>“受托代理资产——</w:t>
      </w:r>
      <w:r>
        <w:rPr>
          <w:rFonts w:ascii="Times New Roman" w:eastAsia="仿宋_GB2312" w:cs="Times New Roman"/>
          <w:sz w:val="32"/>
          <w:szCs w:val="32"/>
        </w:rPr>
        <w:t>应收及暂付款</w:t>
      </w:r>
      <w:r>
        <w:rPr>
          <w:rFonts w:hint="eastAsia" w:ascii="Times New Roman" w:eastAsia="仿宋_GB2312" w:cs="Times New Roman"/>
          <w:sz w:val="32"/>
          <w:szCs w:val="32"/>
        </w:rPr>
        <w:t>”科目</w:t>
      </w:r>
      <w:r>
        <w:rPr>
          <w:rFonts w:asci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2.</w:t>
      </w:r>
      <w:r>
        <w:rPr>
          <w:rFonts w:ascii="Times New Roman" w:eastAsia="仿宋_GB2312" w:cs="Times New Roman"/>
          <w:sz w:val="32"/>
          <w:szCs w:val="32"/>
        </w:rPr>
        <w:t>使用受托代理资金购置固定资产或无形资产时，借记</w:t>
      </w:r>
      <w:r>
        <w:rPr>
          <w:rFonts w:hint="eastAsia" w:ascii="Times New Roman" w:eastAsia="仿宋_GB2312" w:cs="Times New Roman"/>
          <w:sz w:val="32"/>
          <w:szCs w:val="32"/>
        </w:rPr>
        <w:t>“受托代理资产——</w:t>
      </w:r>
      <w:r>
        <w:rPr>
          <w:rFonts w:ascii="Times New Roman" w:eastAsia="仿宋_GB2312" w:cs="Times New Roman"/>
          <w:sz w:val="32"/>
          <w:szCs w:val="32"/>
        </w:rPr>
        <w:t>固定资产</w:t>
      </w:r>
      <w:r>
        <w:rPr>
          <w:rFonts w:hint="eastAsia" w:ascii="Times New Roman" w:eastAsia="仿宋_GB2312" w:cs="Times New Roman"/>
          <w:sz w:val="32"/>
          <w:szCs w:val="32"/>
        </w:rPr>
        <w:t>”或“受托代理资产——</w:t>
      </w:r>
      <w:r>
        <w:rPr>
          <w:rFonts w:ascii="Times New Roman" w:eastAsia="仿宋_GB2312" w:cs="Times New Roman"/>
          <w:sz w:val="32"/>
          <w:szCs w:val="32"/>
        </w:rPr>
        <w:t>无形资产</w:t>
      </w:r>
      <w:r>
        <w:rPr>
          <w:rFonts w:hint="eastAsia" w:ascii="Times New Roman" w:eastAsia="仿宋_GB2312" w:cs="Times New Roman"/>
          <w:sz w:val="32"/>
          <w:szCs w:val="32"/>
        </w:rPr>
        <w:t>”科目</w:t>
      </w:r>
      <w:r>
        <w:rPr>
          <w:rFonts w:ascii="Times New Roman" w:eastAsia="仿宋_GB2312" w:cs="Times New Roman"/>
          <w:sz w:val="32"/>
          <w:szCs w:val="32"/>
        </w:rPr>
        <w:t>，贷记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库存现金</w:t>
      </w:r>
      <w:r>
        <w:rPr>
          <w:rFonts w:hint="eastAsia"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等科目。受托代理资产科目下</w:t>
      </w:r>
      <w:r>
        <w:rPr>
          <w:rFonts w:ascii="Times New Roman" w:hAnsi="Times New Roman" w:eastAsia="仿宋_GB2312" w:cs="Times New Roman"/>
          <w:sz w:val="32"/>
          <w:szCs w:val="32"/>
        </w:rPr>
        <w:t>“</w:t>
      </w:r>
      <w:r>
        <w:rPr>
          <w:rFonts w:ascii="Times New Roman" w:eastAsia="仿宋_GB2312" w:cs="Times New Roman"/>
          <w:sz w:val="32"/>
          <w:szCs w:val="32"/>
        </w:rPr>
        <w:t>固定资产</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无形资产</w:t>
      </w:r>
      <w:r>
        <w:rPr>
          <w:rFonts w:ascii="Times New Roman" w:hAnsi="Times New Roman" w:eastAsia="仿宋_GB2312" w:cs="Times New Roman"/>
          <w:sz w:val="32"/>
          <w:szCs w:val="32"/>
        </w:rPr>
        <w:t>”</w:t>
      </w:r>
      <w:r>
        <w:rPr>
          <w:rFonts w:ascii="Times New Roman" w:eastAsia="仿宋_GB2312" w:cs="Times New Roman"/>
          <w:sz w:val="32"/>
          <w:szCs w:val="32"/>
        </w:rPr>
        <w:t>不</w:t>
      </w:r>
      <w:r>
        <w:rPr>
          <w:rFonts w:hint="eastAsia" w:ascii="Times New Roman" w:eastAsia="仿宋_GB2312" w:cs="Times New Roman"/>
          <w:sz w:val="32"/>
          <w:szCs w:val="32"/>
        </w:rPr>
        <w:t>计</w:t>
      </w:r>
      <w:r>
        <w:rPr>
          <w:rFonts w:ascii="Times New Roman" w:eastAsia="仿宋_GB2312" w:cs="Times New Roman"/>
          <w:sz w:val="32"/>
          <w:szCs w:val="32"/>
        </w:rPr>
        <w:t>提折旧和摊销</w:t>
      </w:r>
      <w:r>
        <w:rPr>
          <w:rFonts w:hint="eastAsia" w:ascii="Times New Roman" w:eastAsia="仿宋_GB2312" w:cs="Times New Roman"/>
          <w:sz w:val="32"/>
          <w:szCs w:val="32"/>
        </w:rPr>
        <w:t>。</w:t>
      </w:r>
      <w:r>
        <w:rPr>
          <w:rFonts w:ascii="Times New Roman" w:eastAsia="仿宋_GB2312" w:cs="Times New Roman"/>
          <w:sz w:val="32"/>
          <w:szCs w:val="32"/>
        </w:rPr>
        <w:t>受托代理的固定资产、无形资产报废、转交时，按照受托代理的固定资产、无形资产账面余额，借记</w:t>
      </w:r>
      <w:r>
        <w:rPr>
          <w:rFonts w:ascii="Times New Roman" w:hAnsi="Times New Roman" w:eastAsia="仿宋_GB2312" w:cs="Times New Roman"/>
          <w:sz w:val="32"/>
          <w:szCs w:val="32"/>
        </w:rPr>
        <w:t>“</w:t>
      </w:r>
      <w:r>
        <w:rPr>
          <w:rFonts w:ascii="Times New Roman" w:eastAsia="仿宋_GB2312" w:cs="Times New Roman"/>
          <w:sz w:val="32"/>
          <w:szCs w:val="32"/>
        </w:rPr>
        <w:t>受托代理负债</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受托代理资产</w:t>
      </w:r>
      <w:r>
        <w:rPr>
          <w:rFonts w:ascii="Times New Roman" w:hAnsi="Times New Roman" w:eastAsia="仿宋_GB2312" w:cs="Times New Roman"/>
          <w:sz w:val="32"/>
          <w:szCs w:val="32"/>
        </w:rPr>
        <w:t>”</w:t>
      </w:r>
      <w:r>
        <w:rPr>
          <w:rFonts w:ascii="Times New Roman" w:eastAsia="仿宋_GB2312" w:cs="Times New Roman"/>
          <w:sz w:val="32"/>
          <w:szCs w:val="32"/>
        </w:rPr>
        <w:t>科目及其明细科目。</w:t>
      </w:r>
    </w:p>
    <w:p>
      <w:pPr>
        <w:spacing w:line="360" w:lineRule="auto"/>
        <w:ind w:firstLine="643" w:firstLineChars="200"/>
        <w:rPr>
          <w:rFonts w:ascii="Times New Roman" w:eastAsia="仿宋_GB2312" w:cs="Times New Roman"/>
          <w:sz w:val="32"/>
          <w:szCs w:val="32"/>
        </w:rPr>
      </w:pPr>
      <w:r>
        <w:rPr>
          <w:rFonts w:hint="eastAsia" w:ascii="Times New Roman" w:eastAsia="仿宋_GB2312" w:cs="Times New Roman"/>
          <w:b/>
          <w:sz w:val="32"/>
          <w:szCs w:val="32"/>
        </w:rPr>
        <w:t>（二）</w:t>
      </w:r>
      <w:r>
        <w:rPr>
          <w:rFonts w:ascii="Times New Roman" w:eastAsia="仿宋_GB2312" w:cs="Times New Roman"/>
          <w:sz w:val="32"/>
          <w:szCs w:val="32"/>
        </w:rPr>
        <w:t>高等学校核算的因公房出售形成的公共维修基金（个人缴纳部分），</w:t>
      </w:r>
      <w:r>
        <w:rPr>
          <w:rFonts w:hint="eastAsia" w:ascii="Times New Roman" w:eastAsia="仿宋_GB2312" w:cs="Times New Roman"/>
          <w:sz w:val="32"/>
          <w:szCs w:val="32"/>
        </w:rPr>
        <w:t>通过</w:t>
      </w:r>
      <w:r>
        <w:rPr>
          <w:rFonts w:ascii="Times New Roman" w:hAnsi="Times New Roman" w:eastAsia="仿宋_GB2312" w:cs="Times New Roman"/>
          <w:sz w:val="32"/>
          <w:szCs w:val="32"/>
        </w:rPr>
        <w:t>“</w:t>
      </w:r>
      <w:r>
        <w:rPr>
          <w:rFonts w:ascii="Times New Roman" w:eastAsia="仿宋_GB2312" w:cs="Times New Roman"/>
          <w:sz w:val="32"/>
          <w:szCs w:val="32"/>
        </w:rPr>
        <w:t>受托代理负债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科目</w:t>
      </w:r>
      <w:r>
        <w:rPr>
          <w:rFonts w:ascii="Times New Roman" w:eastAsia="仿宋_GB2312" w:cs="Times New Roman"/>
          <w:sz w:val="32"/>
          <w:szCs w:val="32"/>
        </w:rPr>
        <w:t>进行核算。</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五</w:t>
      </w:r>
      <w:r>
        <w:rPr>
          <w:rFonts w:ascii="黑体" w:hAnsi="黑体" w:eastAsia="黑体" w:cs="Times New Roman"/>
          <w:sz w:val="32"/>
          <w:szCs w:val="32"/>
        </w:rPr>
        <w:t>、</w:t>
      </w:r>
      <w:r>
        <w:rPr>
          <w:rFonts w:hint="eastAsia" w:ascii="黑体" w:hAnsi="黑体" w:eastAsia="黑体" w:cs="Times New Roman"/>
          <w:sz w:val="32"/>
          <w:szCs w:val="32"/>
        </w:rPr>
        <w:t>关于</w:t>
      </w:r>
      <w:r>
        <w:rPr>
          <w:rFonts w:ascii="黑体" w:hAnsi="黑体" w:eastAsia="黑体" w:cs="Times New Roman"/>
          <w:sz w:val="32"/>
          <w:szCs w:val="32"/>
        </w:rPr>
        <w:t>受托加工</w:t>
      </w:r>
      <w:r>
        <w:rPr>
          <w:rFonts w:hint="eastAsia" w:ascii="黑体" w:hAnsi="黑体" w:eastAsia="黑体" w:cs="Times New Roman"/>
          <w:sz w:val="32"/>
          <w:szCs w:val="32"/>
        </w:rPr>
        <w:t>物品</w:t>
      </w:r>
      <w:r>
        <w:rPr>
          <w:rFonts w:ascii="黑体" w:hAnsi="黑体" w:eastAsia="黑体" w:cs="Times New Roman"/>
          <w:sz w:val="32"/>
          <w:szCs w:val="32"/>
        </w:rPr>
        <w:t>的</w:t>
      </w:r>
      <w:r>
        <w:rPr>
          <w:rFonts w:hint="eastAsia" w:ascii="黑体" w:hAnsi="黑体" w:eastAsia="黑体" w:cs="Times New Roman"/>
          <w:sz w:val="32"/>
          <w:szCs w:val="32"/>
        </w:rPr>
        <w:t>账务处理</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1.</w:t>
      </w:r>
      <w:r>
        <w:rPr>
          <w:rFonts w:ascii="Times New Roman" w:eastAsia="仿宋_GB2312" w:cs="Times New Roman"/>
          <w:sz w:val="32"/>
          <w:szCs w:val="32"/>
        </w:rPr>
        <w:t>高等学校收到委托单位支付的资金用于加工设备、材料等时，借记</w:t>
      </w:r>
      <w:r>
        <w:rPr>
          <w:rFonts w:ascii="Times New Roman" w:hAnsi="Times New Roman" w:eastAsia="仿宋_GB2312" w:cs="Times New Roman"/>
          <w:sz w:val="32"/>
          <w:szCs w:val="32"/>
        </w:rPr>
        <w:t>“</w:t>
      </w:r>
      <w:r>
        <w:rPr>
          <w:rFonts w:hint="eastAsia" w:ascii="Times New Roman" w:eastAsia="仿宋_GB2312" w:cs="Times New Roman"/>
          <w:sz w:val="32"/>
          <w:szCs w:val="32"/>
        </w:rPr>
        <w:t>银行存款</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预收账款</w:t>
      </w:r>
      <w:r>
        <w:rPr>
          <w:rFonts w:ascii="Times New Roman" w:hAnsi="Times New Roman" w:eastAsia="仿宋_GB2312" w:cs="Times New Roman"/>
          <w:sz w:val="32"/>
          <w:szCs w:val="32"/>
        </w:rPr>
        <w:t>”</w:t>
      </w:r>
      <w:r>
        <w:rPr>
          <w:rFonts w:ascii="Times New Roman" w:eastAsia="仿宋_GB2312" w:cs="Times New Roman"/>
          <w:sz w:val="32"/>
          <w:szCs w:val="32"/>
        </w:rPr>
        <w:t>科目；同时，按照收到的资金，借记</w:t>
      </w:r>
      <w:r>
        <w:rPr>
          <w:rFonts w:hint="eastAsia" w:ascii="Times New Roman" w:eastAsia="仿宋_GB2312" w:cs="Times New Roman"/>
          <w:sz w:val="32"/>
          <w:szCs w:val="32"/>
        </w:rPr>
        <w:t>“</w:t>
      </w:r>
      <w:r>
        <w:rPr>
          <w:rFonts w:ascii="Times New Roman" w:eastAsia="仿宋_GB2312" w:cs="Times New Roman"/>
          <w:sz w:val="32"/>
          <w:szCs w:val="32"/>
        </w:rPr>
        <w:t>资金结存</w:t>
      </w:r>
      <w:r>
        <w:rPr>
          <w:rFonts w:hint="eastAsia" w:ascii="Times New Roman" w:eastAsia="仿宋_GB2312" w:cs="Times New Roman"/>
          <w:sz w:val="32"/>
          <w:szCs w:val="32"/>
        </w:rPr>
        <w:t>——</w:t>
      </w:r>
      <w:r>
        <w:rPr>
          <w:rFonts w:ascii="Times New Roman" w:eastAsia="仿宋_GB2312" w:cs="Times New Roman"/>
          <w:sz w:val="32"/>
          <w:szCs w:val="32"/>
        </w:rPr>
        <w:t>货币资金</w:t>
      </w:r>
      <w:r>
        <w:rPr>
          <w:rFonts w:hint="eastAsia" w:ascii="Times New Roman" w:eastAsia="仿宋_GB2312" w:cs="Times New Roman"/>
          <w:sz w:val="32"/>
          <w:szCs w:val="32"/>
        </w:rPr>
        <w:t>”</w:t>
      </w:r>
      <w:r>
        <w:rPr>
          <w:rFonts w:ascii="Times New Roman" w:eastAsia="仿宋_GB2312" w:cs="Times New Roman"/>
          <w:sz w:val="32"/>
          <w:szCs w:val="32"/>
        </w:rPr>
        <w:t>科目，贷记</w:t>
      </w:r>
      <w:r>
        <w:rPr>
          <w:rFonts w:hint="eastAsia" w:ascii="Times New Roman" w:eastAsia="仿宋_GB2312" w:cs="Times New Roman"/>
          <w:sz w:val="32"/>
          <w:szCs w:val="32"/>
        </w:rPr>
        <w:t>“事业预算收入</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w:t>
      </w:r>
      <w:r>
        <w:rPr>
          <w:rFonts w:hint="eastAsia" w:ascii="Times New Roman" w:eastAsia="仿宋_GB2312" w:cs="Times New Roman"/>
          <w:sz w:val="32"/>
          <w:szCs w:val="32"/>
        </w:rPr>
        <w:t>科目。</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2.高等学校</w:t>
      </w:r>
      <w:r>
        <w:rPr>
          <w:rFonts w:ascii="Times New Roman" w:eastAsia="仿宋_GB2312" w:cs="Times New Roman"/>
          <w:sz w:val="32"/>
          <w:szCs w:val="32"/>
        </w:rPr>
        <w:t>对受托加工</w:t>
      </w:r>
      <w:r>
        <w:rPr>
          <w:rFonts w:hint="eastAsia" w:ascii="Times New Roman" w:eastAsia="仿宋_GB2312" w:cs="Times New Roman"/>
          <w:sz w:val="32"/>
          <w:szCs w:val="32"/>
        </w:rPr>
        <w:t>物</w:t>
      </w:r>
      <w:r>
        <w:rPr>
          <w:rFonts w:ascii="Times New Roman" w:eastAsia="仿宋_GB2312" w:cs="Times New Roman"/>
          <w:sz w:val="32"/>
          <w:szCs w:val="32"/>
        </w:rPr>
        <w:t>品进行加工时，按照加工消耗的料、工、费等，借记</w:t>
      </w:r>
      <w:r>
        <w:rPr>
          <w:rFonts w:ascii="Times New Roman" w:hAnsi="Times New Roman" w:eastAsia="仿宋_GB2312" w:cs="Times New Roman"/>
          <w:sz w:val="32"/>
          <w:szCs w:val="32"/>
        </w:rPr>
        <w:t>“</w:t>
      </w:r>
      <w:r>
        <w:rPr>
          <w:rFonts w:ascii="Times New Roman" w:eastAsia="仿宋_GB2312" w:cs="Times New Roman"/>
          <w:sz w:val="32"/>
          <w:szCs w:val="32"/>
        </w:rPr>
        <w:t>加工</w:t>
      </w:r>
      <w:r>
        <w:rPr>
          <w:rFonts w:hint="eastAsia" w:ascii="Times New Roman" w:eastAsia="仿宋_GB2312" w:cs="Times New Roman"/>
          <w:sz w:val="32"/>
          <w:szCs w:val="32"/>
        </w:rPr>
        <w:t>物</w:t>
      </w:r>
      <w:r>
        <w:rPr>
          <w:rFonts w:ascii="Times New Roman" w:eastAsia="仿宋_GB2312" w:cs="Times New Roman"/>
          <w:sz w:val="32"/>
          <w:szCs w:val="32"/>
        </w:rPr>
        <w:t>品</w:t>
      </w:r>
      <w:r>
        <w:rPr>
          <w:rFonts w:hint="eastAsia" w:ascii="Times New Roman" w:eastAsia="仿宋_GB2312" w:cs="Times New Roman"/>
          <w:sz w:val="32"/>
          <w:szCs w:val="32"/>
        </w:rPr>
        <w:t>——受托加工物品</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库存物品</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应付职工薪酬</w:t>
      </w:r>
      <w:r>
        <w:rPr>
          <w:rFonts w:ascii="Times New Roman" w:hAnsi="Times New Roman" w:eastAsia="仿宋_GB2312" w:cs="Times New Roman"/>
          <w:sz w:val="32"/>
          <w:szCs w:val="32"/>
        </w:rPr>
        <w:t>”</w:t>
      </w:r>
      <w:r>
        <w:rPr>
          <w:rFonts w:ascii="Times New Roman" w:eastAsia="仿宋_GB2312" w:cs="Times New Roman"/>
          <w:sz w:val="32"/>
          <w:szCs w:val="32"/>
        </w:rPr>
        <w:t>、</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等科目；同时，对加工中支付的资金，在支付时按照实际支付的金额，借记</w:t>
      </w:r>
      <w:r>
        <w:rPr>
          <w:rFonts w:ascii="Times New Roman" w:hAnsi="Times New Roman" w:eastAsia="仿宋_GB2312" w:cs="Times New Roman"/>
          <w:sz w:val="32"/>
          <w:szCs w:val="32"/>
        </w:rPr>
        <w:t>“</w:t>
      </w:r>
      <w:r>
        <w:rPr>
          <w:rFonts w:hint="eastAsia" w:ascii="Times New Roman" w:eastAsia="仿宋_GB2312" w:cs="Times New Roman"/>
          <w:sz w:val="32"/>
          <w:szCs w:val="32"/>
        </w:rPr>
        <w:t>事业支出——科研支出</w:t>
      </w:r>
      <w:r>
        <w:rPr>
          <w:rFonts w:ascii="Times New Roman" w:hAnsi="Times New Roman" w:eastAsia="仿宋_GB2312" w:cs="Times New Roman"/>
          <w:sz w:val="32"/>
          <w:szCs w:val="32"/>
        </w:rPr>
        <w:t>”</w:t>
      </w:r>
      <w:r>
        <w:rPr>
          <w:rFonts w:hint="eastAsia" w:ascii="Times New Roman" w:eastAsia="仿宋_GB2312" w:cs="Times New Roman"/>
          <w:sz w:val="32"/>
          <w:szCs w:val="32"/>
        </w:rPr>
        <w:t>科</w:t>
      </w:r>
      <w:r>
        <w:rPr>
          <w:rFonts w:ascii="Times New Roman" w:eastAsia="仿宋_GB2312" w:cs="Times New Roman"/>
          <w:sz w:val="32"/>
          <w:szCs w:val="32"/>
        </w:rPr>
        <w:t>目，贷记</w:t>
      </w:r>
      <w:r>
        <w:rPr>
          <w:rFonts w:ascii="Times New Roman" w:hAnsi="Times New Roman" w:eastAsia="仿宋_GB2312" w:cs="Times New Roman"/>
          <w:sz w:val="32"/>
          <w:szCs w:val="32"/>
        </w:rPr>
        <w:t>“</w:t>
      </w:r>
      <w:r>
        <w:rPr>
          <w:rFonts w:ascii="Times New Roman" w:eastAsia="仿宋_GB2312" w:cs="Times New Roman"/>
          <w:sz w:val="32"/>
          <w:szCs w:val="32"/>
        </w:rPr>
        <w:t>资金结存</w:t>
      </w:r>
      <w:r>
        <w:rPr>
          <w:rFonts w:hint="eastAsia" w:ascii="Times New Roman" w:hAnsi="Times New Roman" w:eastAsia="仿宋_GB2312" w:cs="Times New Roman"/>
          <w:sz w:val="32"/>
          <w:szCs w:val="32"/>
        </w:rPr>
        <w:t>——</w:t>
      </w:r>
      <w:r>
        <w:rPr>
          <w:rFonts w:ascii="Times New Roman" w:eastAsia="仿宋_GB2312" w:cs="Times New Roman"/>
          <w:sz w:val="32"/>
          <w:szCs w:val="32"/>
        </w:rPr>
        <w:t>货币资金</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3.高等学校</w:t>
      </w:r>
      <w:r>
        <w:rPr>
          <w:rFonts w:ascii="Times New Roman" w:eastAsia="仿宋_GB2312" w:cs="Times New Roman"/>
          <w:sz w:val="32"/>
          <w:szCs w:val="32"/>
        </w:rPr>
        <w:t>将加工完成的产品交付委托方时，按照受托加工产品的成本，借记</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业务活动费用——</w:t>
      </w:r>
      <w:r>
        <w:rPr>
          <w:rFonts w:hint="eastAsia" w:ascii="Times New Roman" w:eastAsia="仿宋_GB2312" w:cs="Times New Roman"/>
          <w:sz w:val="32"/>
          <w:szCs w:val="32"/>
        </w:rPr>
        <w:t>科研费用</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加工</w:t>
      </w:r>
      <w:r>
        <w:rPr>
          <w:rFonts w:hint="eastAsia" w:ascii="Times New Roman" w:eastAsia="仿宋_GB2312" w:cs="Times New Roman"/>
          <w:sz w:val="32"/>
          <w:szCs w:val="32"/>
        </w:rPr>
        <w:t>物</w:t>
      </w:r>
      <w:r>
        <w:rPr>
          <w:rFonts w:ascii="Times New Roman" w:eastAsia="仿宋_GB2312" w:cs="Times New Roman"/>
          <w:sz w:val="32"/>
          <w:szCs w:val="32"/>
        </w:rPr>
        <w:t>品</w:t>
      </w:r>
      <w:r>
        <w:rPr>
          <w:rFonts w:hint="eastAsia" w:ascii="Times New Roman" w:eastAsia="仿宋_GB2312" w:cs="Times New Roman"/>
          <w:sz w:val="32"/>
          <w:szCs w:val="32"/>
        </w:rPr>
        <w:t>——受托加工物品</w:t>
      </w:r>
      <w:r>
        <w:rPr>
          <w:rFonts w:ascii="Times New Roman" w:hAnsi="Times New Roman" w:eastAsia="仿宋_GB2312" w:cs="Times New Roman"/>
          <w:sz w:val="32"/>
          <w:szCs w:val="32"/>
        </w:rPr>
        <w:t>”</w:t>
      </w:r>
      <w:r>
        <w:rPr>
          <w:rFonts w:ascii="Times New Roman" w:eastAsia="仿宋_GB2312" w:cs="Times New Roman"/>
          <w:sz w:val="32"/>
          <w:szCs w:val="32"/>
        </w:rPr>
        <w:t>科目，同时</w:t>
      </w:r>
      <w:r>
        <w:rPr>
          <w:rFonts w:hint="eastAsia" w:ascii="Times New Roman" w:eastAsia="仿宋_GB2312" w:cs="Times New Roman"/>
          <w:sz w:val="32"/>
          <w:szCs w:val="32"/>
        </w:rPr>
        <w:t>，</w:t>
      </w:r>
      <w:r>
        <w:rPr>
          <w:rFonts w:ascii="Times New Roman" w:eastAsia="仿宋_GB2312" w:cs="Times New Roman"/>
          <w:sz w:val="32"/>
          <w:szCs w:val="32"/>
        </w:rPr>
        <w:t>确认委托方的委托加工收入，</w:t>
      </w:r>
      <w:r>
        <w:rPr>
          <w:rFonts w:hint="eastAsia" w:ascii="Times New Roman" w:eastAsia="仿宋_GB2312" w:cs="Times New Roman"/>
          <w:sz w:val="32"/>
          <w:szCs w:val="32"/>
        </w:rPr>
        <w:t>按照预收账款账面余额，</w:t>
      </w:r>
      <w:r>
        <w:rPr>
          <w:rFonts w:ascii="Times New Roman" w:eastAsia="仿宋_GB2312" w:cs="Times New Roman"/>
          <w:sz w:val="32"/>
          <w:szCs w:val="32"/>
        </w:rPr>
        <w:t>借记</w:t>
      </w:r>
      <w:r>
        <w:rPr>
          <w:rFonts w:ascii="Times New Roman" w:hAnsi="Times New Roman" w:eastAsia="仿宋_GB2312" w:cs="Times New Roman"/>
          <w:sz w:val="32"/>
          <w:szCs w:val="32"/>
        </w:rPr>
        <w:t>“</w:t>
      </w:r>
      <w:r>
        <w:rPr>
          <w:rFonts w:ascii="Times New Roman" w:eastAsia="仿宋_GB2312" w:cs="Times New Roman"/>
          <w:sz w:val="32"/>
          <w:szCs w:val="32"/>
        </w:rPr>
        <w:t>预收账款</w:t>
      </w:r>
      <w:r>
        <w:rPr>
          <w:rFonts w:ascii="Times New Roman" w:hAnsi="Times New Roman" w:eastAsia="仿宋_GB2312" w:cs="Times New Roman"/>
          <w:sz w:val="32"/>
          <w:szCs w:val="32"/>
        </w:rPr>
        <w:t>”</w:t>
      </w:r>
      <w:r>
        <w:rPr>
          <w:rFonts w:ascii="Times New Roman" w:eastAsia="仿宋_GB2312" w:cs="Times New Roman"/>
          <w:sz w:val="32"/>
          <w:szCs w:val="32"/>
        </w:rPr>
        <w:t>科目，按照</w:t>
      </w:r>
      <w:r>
        <w:rPr>
          <w:rFonts w:hint="eastAsia" w:ascii="Times New Roman" w:eastAsia="仿宋_GB2312" w:cs="Times New Roman"/>
          <w:sz w:val="32"/>
          <w:szCs w:val="32"/>
        </w:rPr>
        <w:t>应确认的收入</w:t>
      </w:r>
      <w:r>
        <w:rPr>
          <w:rFonts w:ascii="Times New Roman" w:eastAsia="仿宋_GB2312" w:cs="Times New Roman"/>
          <w:sz w:val="32"/>
          <w:szCs w:val="32"/>
        </w:rPr>
        <w:t>金额，贷记</w:t>
      </w:r>
      <w:r>
        <w:rPr>
          <w:rFonts w:ascii="Times New Roman" w:hAnsi="Times New Roman" w:eastAsia="仿宋_GB2312" w:cs="Times New Roman"/>
          <w:sz w:val="32"/>
          <w:szCs w:val="32"/>
        </w:rPr>
        <w:t>“</w:t>
      </w:r>
      <w:r>
        <w:rPr>
          <w:rFonts w:hint="eastAsia" w:ascii="Times New Roman" w:eastAsia="仿宋_GB2312" w:cs="Times New Roman"/>
          <w:sz w:val="32"/>
          <w:szCs w:val="32"/>
        </w:rPr>
        <w:t>事业收入</w:t>
      </w:r>
      <w:r>
        <w:rPr>
          <w:rFonts w:ascii="Times New Roman" w:hAnsi="Times New Roman" w:eastAsia="仿宋_GB2312" w:cs="Times New Roman"/>
          <w:sz w:val="32"/>
          <w:szCs w:val="32"/>
        </w:rPr>
        <w:t>”</w:t>
      </w:r>
      <w:r>
        <w:rPr>
          <w:rFonts w:hint="eastAsia" w:ascii="Times New Roman" w:eastAsia="仿宋_GB2312" w:cs="Times New Roman"/>
          <w:sz w:val="32"/>
          <w:szCs w:val="32"/>
        </w:rPr>
        <w:t>等科</w:t>
      </w:r>
      <w:r>
        <w:rPr>
          <w:rFonts w:ascii="Times New Roman" w:eastAsia="仿宋_GB2312" w:cs="Times New Roman"/>
          <w:sz w:val="32"/>
          <w:szCs w:val="32"/>
        </w:rPr>
        <w:t>目</w:t>
      </w:r>
      <w:r>
        <w:rPr>
          <w:rFonts w:hint="eastAsia" w:ascii="Times New Roman" w:eastAsia="仿宋_GB2312" w:cs="Times New Roman"/>
          <w:sz w:val="32"/>
          <w:szCs w:val="32"/>
        </w:rPr>
        <w:t>，按照委托方补付或退回委托方的金额，借记或贷记“银行存款”等科目（同时借记或贷记“资金结存”科目，贷记或借记“事业预算收入”等科目）</w:t>
      </w:r>
      <w:r>
        <w:rPr>
          <w:rFonts w:ascii="Times New Roman" w:eastAsia="仿宋_GB2312" w:cs="Times New Roman"/>
          <w:sz w:val="32"/>
          <w:szCs w:val="32"/>
        </w:rPr>
        <w:t>。</w:t>
      </w:r>
      <w:r>
        <w:rPr>
          <w:rFonts w:hint="eastAsia" w:ascii="Times New Roman" w:eastAsia="仿宋_GB2312" w:cs="Times New Roman"/>
          <w:sz w:val="32"/>
          <w:szCs w:val="32"/>
        </w:rPr>
        <w:t>涉及增值税业务的，相关账务处理参见“应缴增值税”科目。</w:t>
      </w:r>
    </w:p>
    <w:p>
      <w:pPr>
        <w:tabs>
          <w:tab w:val="left" w:pos="2220"/>
          <w:tab w:val="left" w:pos="5304"/>
        </w:tabs>
        <w:ind w:firstLine="640" w:firstLineChars="200"/>
        <w:rPr>
          <w:rFonts w:ascii="黑体" w:hAnsi="黑体" w:eastAsia="黑体" w:cs="Times New Roman"/>
          <w:sz w:val="32"/>
          <w:szCs w:val="32"/>
        </w:rPr>
      </w:pPr>
      <w:r>
        <w:rPr>
          <w:rFonts w:hint="eastAsia" w:ascii="黑体" w:hAnsi="黑体" w:eastAsia="黑体" w:cs="Times New Roman"/>
          <w:sz w:val="32"/>
          <w:szCs w:val="32"/>
        </w:rPr>
        <w:t>六、关于计提和使用项目间接费用或管理费的账务处理</w:t>
      </w:r>
    </w:p>
    <w:p>
      <w:pPr>
        <w:tabs>
          <w:tab w:val="left" w:pos="2220"/>
          <w:tab w:val="left" w:pos="5304"/>
        </w:tabs>
        <w:ind w:firstLine="640" w:firstLineChars="200"/>
        <w:rPr>
          <w:rFonts w:ascii="Times New Roman" w:eastAsia="仿宋_GB2312" w:cs="Times New Roman"/>
          <w:sz w:val="32"/>
          <w:szCs w:val="32"/>
        </w:rPr>
      </w:pPr>
      <w:r>
        <w:rPr>
          <w:rFonts w:hint="eastAsia" w:ascii="Times New Roman" w:eastAsia="仿宋_GB2312" w:cs="Times New Roman"/>
          <w:sz w:val="32"/>
          <w:szCs w:val="32"/>
        </w:rPr>
        <w:t>（一）高等学校按规定从科研项目收入中计提项目间接费用或管理费时，除按新制度规定借记“单位管理费用”科目外，也可根据实际情况借记“业务活动费用”等科目。</w:t>
      </w:r>
    </w:p>
    <w:p>
      <w:pPr>
        <w:tabs>
          <w:tab w:val="left" w:pos="2220"/>
          <w:tab w:val="left" w:pos="5304"/>
        </w:tabs>
        <w:ind w:firstLine="640" w:firstLineChars="200"/>
        <w:rPr>
          <w:rFonts w:ascii="Times New Roman" w:eastAsia="仿宋_GB2312" w:cs="Times New Roman"/>
          <w:sz w:val="32"/>
          <w:szCs w:val="32"/>
        </w:rPr>
      </w:pPr>
      <w:r>
        <w:rPr>
          <w:rFonts w:hint="eastAsia" w:ascii="Times New Roman" w:eastAsia="仿宋_GB2312" w:cs="Times New Roman"/>
          <w:sz w:val="32"/>
          <w:szCs w:val="32"/>
        </w:rPr>
        <w:t>（二）高等学校使用计提的项目间接费用或管理费购买固定资产、无形资产的，在财务会计下，按照固定资产、无形资产的成本金额，借记“固定资产”、“无形资产”科目，贷记“银行存款”等科目；同时，按照相同的金额，借记“预提费用——项目间接费用或管理费”科目，贷记“累计盈余”科目。在预算会计下，按照相同的金额，借记“事业支出”等科目，贷记“资金结存”科目。</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七</w:t>
      </w:r>
      <w:r>
        <w:rPr>
          <w:rFonts w:ascii="黑体" w:hAnsi="黑体" w:eastAsia="黑体" w:cs="Times New Roman"/>
          <w:sz w:val="32"/>
          <w:szCs w:val="32"/>
        </w:rPr>
        <w:t>、</w:t>
      </w:r>
      <w:r>
        <w:rPr>
          <w:rFonts w:hint="eastAsia" w:ascii="黑体" w:hAnsi="黑体" w:eastAsia="黑体" w:cs="Times New Roman"/>
          <w:sz w:val="32"/>
          <w:szCs w:val="32"/>
        </w:rPr>
        <w:t>关于</w:t>
      </w:r>
      <w:r>
        <w:rPr>
          <w:rFonts w:ascii="黑体" w:hAnsi="黑体" w:eastAsia="黑体" w:cs="Times New Roman"/>
          <w:sz w:val="32"/>
          <w:szCs w:val="32"/>
        </w:rPr>
        <w:t>附属单位工资返还的</w:t>
      </w:r>
      <w:r>
        <w:rPr>
          <w:rFonts w:hint="eastAsia" w:ascii="黑体" w:hAnsi="黑体" w:eastAsia="黑体" w:cs="Times New Roman"/>
          <w:sz w:val="32"/>
          <w:szCs w:val="32"/>
        </w:rPr>
        <w:t>账务处理</w:t>
      </w:r>
    </w:p>
    <w:p>
      <w:pPr>
        <w:spacing w:line="360" w:lineRule="auto"/>
        <w:ind w:firstLine="640" w:firstLineChars="200"/>
        <w:rPr>
          <w:rFonts w:ascii="Times New Roman" w:eastAsia="仿宋_GB2312" w:cs="Times New Roman"/>
          <w:sz w:val="32"/>
          <w:szCs w:val="32"/>
        </w:rPr>
      </w:pPr>
      <w:r>
        <w:rPr>
          <w:rFonts w:hint="eastAsia" w:ascii="Times New Roman" w:eastAsia="仿宋_GB2312" w:cs="Times New Roman"/>
          <w:sz w:val="32"/>
          <w:szCs w:val="32"/>
        </w:rPr>
        <w:t>高等学校附属单位职工薪酬按规定自行负担，但需由高等学校代为发放时，高等学校</w:t>
      </w:r>
      <w:r>
        <w:rPr>
          <w:rFonts w:ascii="Times New Roman" w:eastAsia="仿宋_GB2312" w:cs="Times New Roman"/>
          <w:sz w:val="32"/>
          <w:szCs w:val="32"/>
        </w:rPr>
        <w:t>按照实际垫付的金额，借记</w:t>
      </w:r>
      <w:r>
        <w:rPr>
          <w:rFonts w:ascii="Times New Roman" w:hAnsi="Times New Roman" w:eastAsia="仿宋_GB2312" w:cs="Times New Roman"/>
          <w:sz w:val="32"/>
          <w:szCs w:val="32"/>
        </w:rPr>
        <w:t>“</w:t>
      </w:r>
      <w:r>
        <w:rPr>
          <w:rFonts w:ascii="Times New Roman" w:eastAsia="仿宋_GB2312" w:cs="Times New Roman"/>
          <w:sz w:val="32"/>
          <w:szCs w:val="32"/>
        </w:rPr>
        <w:t>其他应收款</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应付职工薪酬</w:t>
      </w:r>
      <w:r>
        <w:rPr>
          <w:rFonts w:ascii="Times New Roman" w:hAnsi="Times New Roman" w:eastAsia="仿宋_GB2312" w:cs="Times New Roman"/>
          <w:sz w:val="32"/>
          <w:szCs w:val="32"/>
        </w:rPr>
        <w:t>”</w:t>
      </w:r>
      <w:r>
        <w:rPr>
          <w:rFonts w:ascii="Times New Roman" w:eastAsia="仿宋_GB2312" w:cs="Times New Roman"/>
          <w:sz w:val="32"/>
          <w:szCs w:val="32"/>
        </w:rPr>
        <w:t>科目。</w:t>
      </w:r>
      <w:r>
        <w:rPr>
          <w:rFonts w:hint="eastAsia" w:ascii="Times New Roman" w:eastAsia="仿宋_GB2312" w:cs="Times New Roman"/>
          <w:sz w:val="32"/>
          <w:szCs w:val="32"/>
        </w:rPr>
        <w:t>高等学校</w:t>
      </w:r>
      <w:r>
        <w:rPr>
          <w:rFonts w:ascii="Times New Roman" w:eastAsia="仿宋_GB2312" w:cs="Times New Roman"/>
          <w:sz w:val="32"/>
          <w:szCs w:val="32"/>
        </w:rPr>
        <w:t>收到附属单位交来的</w:t>
      </w:r>
      <w:r>
        <w:rPr>
          <w:rFonts w:hint="eastAsia" w:ascii="Times New Roman" w:eastAsia="仿宋_GB2312" w:cs="Times New Roman"/>
          <w:sz w:val="32"/>
          <w:szCs w:val="32"/>
        </w:rPr>
        <w:t>返还款</w:t>
      </w:r>
      <w:r>
        <w:rPr>
          <w:rFonts w:ascii="Times New Roman" w:eastAsia="仿宋_GB2312" w:cs="Times New Roman"/>
          <w:sz w:val="32"/>
          <w:szCs w:val="32"/>
        </w:rPr>
        <w:t>时，借记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其他应收款</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八</w:t>
      </w:r>
      <w:r>
        <w:rPr>
          <w:rFonts w:ascii="黑体" w:hAnsi="黑体" w:eastAsia="黑体" w:cs="Times New Roman"/>
          <w:sz w:val="32"/>
          <w:szCs w:val="32"/>
        </w:rPr>
        <w:t>、</w:t>
      </w:r>
      <w:r>
        <w:rPr>
          <w:rFonts w:hint="eastAsia" w:ascii="黑体" w:hAnsi="黑体" w:eastAsia="黑体" w:cs="Times New Roman"/>
          <w:sz w:val="32"/>
          <w:szCs w:val="32"/>
        </w:rPr>
        <w:t>关于</w:t>
      </w:r>
      <w:r>
        <w:rPr>
          <w:rFonts w:ascii="黑体" w:hAnsi="黑体" w:eastAsia="黑体" w:cs="Times New Roman"/>
          <w:sz w:val="32"/>
          <w:szCs w:val="32"/>
        </w:rPr>
        <w:t>出资成立非企业法人单位</w:t>
      </w:r>
      <w:r>
        <w:rPr>
          <w:rFonts w:hint="eastAsia" w:ascii="黑体" w:hAnsi="黑体" w:eastAsia="黑体" w:cs="Times New Roman"/>
          <w:sz w:val="32"/>
          <w:szCs w:val="32"/>
        </w:rPr>
        <w:t>的账务处理</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高等学校经批准出资成立非企业法人单位，如教育基金会、研究院等，应当借记</w:t>
      </w:r>
      <w:r>
        <w:rPr>
          <w:rFonts w:ascii="Times New Roman" w:hAnsi="Times New Roman" w:eastAsia="仿宋_GB2312" w:cs="Times New Roman"/>
          <w:sz w:val="32"/>
          <w:szCs w:val="32"/>
        </w:rPr>
        <w:t>“</w:t>
      </w:r>
      <w:r>
        <w:rPr>
          <w:rFonts w:ascii="Times New Roman" w:eastAsia="仿宋_GB2312" w:cs="Times New Roman"/>
          <w:sz w:val="32"/>
          <w:szCs w:val="32"/>
        </w:rPr>
        <w:t>其他费用</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银行存款</w:t>
      </w:r>
      <w:r>
        <w:rPr>
          <w:rFonts w:ascii="Times New Roman" w:hAnsi="Times New Roman" w:eastAsia="仿宋_GB2312" w:cs="Times New Roman"/>
          <w:sz w:val="32"/>
          <w:szCs w:val="32"/>
        </w:rPr>
        <w:t>”</w:t>
      </w:r>
      <w:r>
        <w:rPr>
          <w:rFonts w:ascii="Times New Roman" w:eastAsia="仿宋_GB2312" w:cs="Times New Roman"/>
          <w:sz w:val="32"/>
          <w:szCs w:val="32"/>
        </w:rPr>
        <w:t>科目；同时，借记</w:t>
      </w:r>
      <w:r>
        <w:rPr>
          <w:rFonts w:ascii="Times New Roman" w:hAnsi="Times New Roman" w:eastAsia="仿宋_GB2312" w:cs="Times New Roman"/>
          <w:sz w:val="32"/>
          <w:szCs w:val="32"/>
        </w:rPr>
        <w:t>“</w:t>
      </w:r>
      <w:r>
        <w:rPr>
          <w:rFonts w:ascii="Times New Roman" w:eastAsia="仿宋_GB2312" w:cs="Times New Roman"/>
          <w:sz w:val="32"/>
          <w:szCs w:val="32"/>
        </w:rPr>
        <w:t>其他支出</w:t>
      </w:r>
      <w:r>
        <w:rPr>
          <w:rFonts w:ascii="Times New Roman" w:hAnsi="Times New Roman" w:eastAsia="仿宋_GB2312" w:cs="Times New Roman"/>
          <w:sz w:val="32"/>
          <w:szCs w:val="32"/>
        </w:rPr>
        <w:t>”</w:t>
      </w:r>
      <w:r>
        <w:rPr>
          <w:rFonts w:ascii="Times New Roman" w:eastAsia="仿宋_GB2312" w:cs="Times New Roman"/>
          <w:sz w:val="32"/>
          <w:szCs w:val="32"/>
        </w:rPr>
        <w:t>科目，贷记</w:t>
      </w:r>
      <w:r>
        <w:rPr>
          <w:rFonts w:ascii="Times New Roman" w:hAnsi="Times New Roman" w:eastAsia="仿宋_GB2312" w:cs="Times New Roman"/>
          <w:sz w:val="32"/>
          <w:szCs w:val="32"/>
        </w:rPr>
        <w:t>“</w:t>
      </w:r>
      <w:r>
        <w:rPr>
          <w:rFonts w:ascii="Times New Roman" w:eastAsia="仿宋_GB2312" w:cs="Times New Roman"/>
          <w:sz w:val="32"/>
          <w:szCs w:val="32"/>
        </w:rPr>
        <w:t>资金结存</w:t>
      </w:r>
      <w:r>
        <w:rPr>
          <w:rFonts w:ascii="Times New Roman" w:hAnsi="Times New Roman" w:eastAsia="仿宋_GB2312" w:cs="Times New Roman"/>
          <w:sz w:val="32"/>
          <w:szCs w:val="32"/>
        </w:rPr>
        <w:t>——</w:t>
      </w:r>
      <w:r>
        <w:rPr>
          <w:rFonts w:ascii="Times New Roman" w:eastAsia="仿宋_GB2312" w:cs="Times New Roman"/>
          <w:sz w:val="32"/>
          <w:szCs w:val="32"/>
        </w:rPr>
        <w:t>货币资金</w:t>
      </w:r>
      <w:r>
        <w:rPr>
          <w:rFonts w:ascii="Times New Roman" w:hAnsi="Times New Roman" w:eastAsia="仿宋_GB2312" w:cs="Times New Roman"/>
          <w:sz w:val="32"/>
          <w:szCs w:val="32"/>
        </w:rPr>
        <w:t>”</w:t>
      </w:r>
      <w:r>
        <w:rPr>
          <w:rFonts w:ascii="Times New Roman" w:eastAsia="仿宋_GB2312" w:cs="Times New Roman"/>
          <w:sz w:val="32"/>
          <w:szCs w:val="32"/>
        </w:rPr>
        <w:t>科目。</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九</w:t>
      </w:r>
      <w:r>
        <w:rPr>
          <w:rFonts w:ascii="黑体" w:hAnsi="黑体" w:eastAsia="黑体" w:cs="Times New Roman"/>
          <w:sz w:val="32"/>
          <w:szCs w:val="32"/>
        </w:rPr>
        <w:t>、</w:t>
      </w:r>
      <w:r>
        <w:rPr>
          <w:rFonts w:hint="eastAsia" w:ascii="黑体" w:hAnsi="黑体" w:eastAsia="黑体" w:cs="Times New Roman"/>
          <w:sz w:val="32"/>
          <w:szCs w:val="32"/>
        </w:rPr>
        <w:t>关于</w:t>
      </w:r>
      <w:r>
        <w:rPr>
          <w:rFonts w:ascii="黑体" w:hAnsi="黑体" w:eastAsia="黑体" w:cs="Times New Roman"/>
          <w:sz w:val="32"/>
          <w:szCs w:val="32"/>
        </w:rPr>
        <w:t>按合同</w:t>
      </w:r>
      <w:r>
        <w:rPr>
          <w:rFonts w:hint="eastAsia" w:ascii="黑体" w:hAnsi="黑体" w:eastAsia="黑体" w:cs="Times New Roman"/>
          <w:sz w:val="32"/>
          <w:szCs w:val="32"/>
        </w:rPr>
        <w:t>完成</w:t>
      </w:r>
      <w:r>
        <w:rPr>
          <w:rFonts w:ascii="黑体" w:hAnsi="黑体" w:eastAsia="黑体" w:cs="Times New Roman"/>
          <w:sz w:val="32"/>
          <w:szCs w:val="32"/>
        </w:rPr>
        <w:t>进度确认事业收入</w:t>
      </w:r>
    </w:p>
    <w:p>
      <w:pPr>
        <w:spacing w:line="360" w:lineRule="auto"/>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高等学校</w:t>
      </w:r>
      <w:r>
        <w:rPr>
          <w:rFonts w:hint="eastAsia" w:ascii="Times New Roman" w:eastAsia="仿宋_GB2312" w:cs="Times New Roman"/>
          <w:sz w:val="32"/>
          <w:szCs w:val="32"/>
        </w:rPr>
        <w:t>以合同</w:t>
      </w:r>
      <w:r>
        <w:rPr>
          <w:rFonts w:ascii="Times New Roman" w:eastAsia="仿宋_GB2312" w:cs="Times New Roman"/>
          <w:sz w:val="32"/>
          <w:szCs w:val="32"/>
        </w:rPr>
        <w:t>完成进度确认事业收入时，</w:t>
      </w:r>
      <w:r>
        <w:rPr>
          <w:rFonts w:hint="eastAsia" w:ascii="Times New Roman" w:eastAsia="仿宋_GB2312" w:cs="Times New Roman"/>
          <w:sz w:val="32"/>
          <w:szCs w:val="32"/>
        </w:rPr>
        <w:t>应当</w:t>
      </w:r>
      <w:r>
        <w:rPr>
          <w:rFonts w:ascii="Times New Roman" w:eastAsia="仿宋_GB2312" w:cs="Times New Roman"/>
          <w:sz w:val="32"/>
          <w:szCs w:val="32"/>
        </w:rPr>
        <w:t>根据</w:t>
      </w:r>
      <w:r>
        <w:rPr>
          <w:rFonts w:hint="eastAsia" w:ascii="Times New Roman" w:eastAsia="仿宋_GB2312" w:cs="Times New Roman"/>
          <w:sz w:val="32"/>
          <w:szCs w:val="32"/>
        </w:rPr>
        <w:t>业务实质</w:t>
      </w:r>
      <w:r>
        <w:rPr>
          <w:rFonts w:ascii="Times New Roman" w:eastAsia="仿宋_GB2312" w:cs="Times New Roman"/>
          <w:sz w:val="32"/>
          <w:szCs w:val="32"/>
        </w:rPr>
        <w:t>，</w:t>
      </w:r>
      <w:r>
        <w:rPr>
          <w:rFonts w:hint="eastAsia" w:ascii="Times New Roman" w:eastAsia="仿宋_GB2312" w:cs="Times New Roman"/>
          <w:sz w:val="32"/>
          <w:szCs w:val="32"/>
        </w:rPr>
        <w:t>选择</w:t>
      </w:r>
      <w:r>
        <w:rPr>
          <w:rFonts w:ascii="Times New Roman" w:eastAsia="仿宋_GB2312" w:cs="Times New Roman"/>
          <w:sz w:val="32"/>
          <w:szCs w:val="32"/>
        </w:rPr>
        <w:t>累计实际发生的合同成本占合同预计总成本的比例</w:t>
      </w:r>
      <w:r>
        <w:rPr>
          <w:rFonts w:hint="eastAsia" w:ascii="Times New Roman" w:eastAsia="仿宋_GB2312" w:cs="Times New Roman"/>
          <w:sz w:val="32"/>
          <w:szCs w:val="32"/>
        </w:rPr>
        <w:t>、</w:t>
      </w:r>
      <w:r>
        <w:rPr>
          <w:rFonts w:ascii="Times New Roman" w:eastAsia="仿宋_GB2312" w:cs="Times New Roman"/>
          <w:sz w:val="32"/>
          <w:szCs w:val="32"/>
        </w:rPr>
        <w:t>已经完成的合同工作量占合同预计总工作量的比例</w:t>
      </w:r>
      <w:r>
        <w:rPr>
          <w:rFonts w:hint="eastAsia" w:ascii="Times New Roman" w:eastAsia="仿宋_GB2312" w:cs="Times New Roman"/>
          <w:sz w:val="32"/>
          <w:szCs w:val="32"/>
        </w:rPr>
        <w:t>、</w:t>
      </w:r>
      <w:r>
        <w:rPr>
          <w:rFonts w:ascii="Times New Roman" w:eastAsia="仿宋_GB2312" w:cs="Times New Roman"/>
          <w:sz w:val="32"/>
          <w:szCs w:val="32"/>
        </w:rPr>
        <w:t>已经完成的时间占合同期限的比例</w:t>
      </w:r>
      <w:r>
        <w:rPr>
          <w:rFonts w:hint="eastAsia" w:ascii="Times New Roman" w:eastAsia="仿宋_GB2312" w:cs="Times New Roman"/>
          <w:sz w:val="32"/>
          <w:szCs w:val="32"/>
        </w:rPr>
        <w:t>、</w:t>
      </w:r>
      <w:r>
        <w:rPr>
          <w:rFonts w:ascii="Times New Roman" w:eastAsia="仿宋_GB2312" w:cs="Times New Roman"/>
          <w:sz w:val="32"/>
          <w:szCs w:val="32"/>
        </w:rPr>
        <w:t>实际测定的完工进度等方法，</w:t>
      </w:r>
      <w:r>
        <w:rPr>
          <w:rFonts w:hint="eastAsia" w:ascii="Times New Roman" w:eastAsia="仿宋_GB2312" w:cs="Times New Roman"/>
          <w:sz w:val="32"/>
          <w:szCs w:val="32"/>
        </w:rPr>
        <w:t>合理</w:t>
      </w:r>
      <w:r>
        <w:rPr>
          <w:rFonts w:ascii="Times New Roman" w:eastAsia="仿宋_GB2312" w:cs="Times New Roman"/>
          <w:sz w:val="32"/>
          <w:szCs w:val="32"/>
        </w:rPr>
        <w:t>确定合同完成进度。</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十</w:t>
      </w:r>
      <w:r>
        <w:rPr>
          <w:rFonts w:ascii="黑体" w:hAnsi="黑体" w:eastAsia="黑体" w:cs="Times New Roman"/>
          <w:sz w:val="32"/>
          <w:szCs w:val="32"/>
        </w:rPr>
        <w:t>、</w:t>
      </w:r>
      <w:r>
        <w:rPr>
          <w:rFonts w:hint="eastAsia" w:ascii="黑体" w:hAnsi="黑体" w:eastAsia="黑体" w:cs="Times New Roman"/>
          <w:sz w:val="32"/>
          <w:szCs w:val="32"/>
        </w:rPr>
        <w:t>关于</w:t>
      </w:r>
      <w:r>
        <w:rPr>
          <w:rFonts w:ascii="黑体" w:hAnsi="黑体" w:eastAsia="黑体" w:cs="Times New Roman"/>
          <w:sz w:val="32"/>
          <w:szCs w:val="32"/>
        </w:rPr>
        <w:t>固定资产折旧年限</w:t>
      </w:r>
    </w:p>
    <w:p>
      <w:pPr>
        <w:spacing w:line="360" w:lineRule="auto"/>
        <w:ind w:firstLine="640" w:firstLineChars="200"/>
        <w:rPr>
          <w:rFonts w:ascii="Times New Roman" w:eastAsia="仿宋_GB2312" w:cs="Times New Roman"/>
          <w:sz w:val="32"/>
          <w:szCs w:val="32"/>
        </w:rPr>
      </w:pPr>
      <w:r>
        <w:rPr>
          <w:rFonts w:ascii="Times New Roman" w:eastAsia="仿宋_GB2312" w:cs="Times New Roman"/>
          <w:sz w:val="32"/>
          <w:szCs w:val="32"/>
        </w:rPr>
        <w:t>通常情况下，高等学校应当按照附表</w:t>
      </w:r>
      <w:r>
        <w:rPr>
          <w:rFonts w:ascii="Times New Roman" w:hAnsi="Times New Roman" w:eastAsia="仿宋_GB2312" w:cs="Times New Roman"/>
          <w:sz w:val="32"/>
          <w:szCs w:val="32"/>
        </w:rPr>
        <w:t>3</w:t>
      </w:r>
      <w:r>
        <w:rPr>
          <w:rFonts w:ascii="Times New Roman" w:eastAsia="仿宋_GB2312" w:cs="Times New Roman"/>
          <w:sz w:val="32"/>
          <w:szCs w:val="32"/>
        </w:rPr>
        <w:t>规定确定各类应计提折旧的固定资产的折旧年限。</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十一、生效日期</w:t>
      </w:r>
    </w:p>
    <w:p>
      <w:pPr>
        <w:spacing w:line="360" w:lineRule="auto"/>
        <w:ind w:firstLine="640" w:firstLineChars="200"/>
        <w:rPr>
          <w:rFonts w:ascii="Times New Roman" w:hAnsi="Times New Roman" w:eastAsia="仿宋_GB2312" w:cs="Times New Roman"/>
          <w:sz w:val="32"/>
          <w:szCs w:val="32"/>
        </w:rPr>
      </w:pPr>
      <w:r>
        <w:rPr>
          <w:rFonts w:hint="eastAsia" w:ascii="Times New Roman" w:eastAsia="仿宋_GB2312" w:cs="Times New Roman"/>
          <w:sz w:val="32"/>
          <w:szCs w:val="32"/>
        </w:rPr>
        <w:t>本规定自2019年1月1日起施行。</w:t>
      </w:r>
    </w:p>
    <w:p>
      <w:pPr>
        <w:spacing w:line="360" w:lineRule="exact"/>
        <w:rPr>
          <w:rFonts w:ascii="Times New Roman" w:hAnsi="Times New Roman" w:eastAsia="仿宋" w:cs="Times New Roman"/>
          <w:kern w:val="0"/>
          <w:sz w:val="28"/>
          <w:szCs w:val="28"/>
        </w:rPr>
      </w:pPr>
      <w:r>
        <w:rPr>
          <w:rFonts w:ascii="Times New Roman" w:hAnsi="仿宋" w:eastAsia="仿宋" w:cs="Times New Roman"/>
          <w:kern w:val="0"/>
          <w:sz w:val="28"/>
          <w:szCs w:val="28"/>
        </w:rPr>
        <w:t>附表</w:t>
      </w:r>
      <w:r>
        <w:rPr>
          <w:rFonts w:ascii="Times New Roman" w:hAnsi="Times New Roman" w:eastAsia="仿宋" w:cs="Times New Roman"/>
          <w:kern w:val="0"/>
          <w:sz w:val="28"/>
          <w:szCs w:val="28"/>
        </w:rPr>
        <w:t>1</w:t>
      </w:r>
      <w:r>
        <w:rPr>
          <w:rFonts w:hint="eastAsia" w:ascii="Times New Roman" w:hAnsi="Times New Roman" w:eastAsia="仿宋" w:cs="Times New Roman"/>
          <w:kern w:val="0"/>
          <w:sz w:val="28"/>
          <w:szCs w:val="28"/>
        </w:rPr>
        <w:t>：</w:t>
      </w:r>
    </w:p>
    <w:p>
      <w:pPr>
        <w:autoSpaceDE w:val="0"/>
        <w:autoSpaceDN w:val="0"/>
        <w:spacing w:line="360" w:lineRule="exact"/>
        <w:jc w:val="center"/>
        <w:rPr>
          <w:rFonts w:ascii="Times New Roman" w:hAnsi="Times New Roman" w:cs="Times New Roman"/>
          <w:b/>
          <w:sz w:val="28"/>
          <w:szCs w:val="28"/>
        </w:rPr>
      </w:pPr>
      <w:r>
        <w:rPr>
          <w:rFonts w:ascii="Times New Roman" w:cs="Times New Roman" w:hAnsiTheme="minorEastAsia"/>
          <w:b/>
          <w:sz w:val="28"/>
          <w:szCs w:val="28"/>
        </w:rPr>
        <w:t>收入费用表</w:t>
      </w:r>
    </w:p>
    <w:p>
      <w:pPr>
        <w:spacing w:line="360" w:lineRule="exact"/>
        <w:jc w:val="right"/>
        <w:rPr>
          <w:rFonts w:ascii="Times New Roman" w:hAnsi="Times New Roman" w:cs="Times New Roman"/>
          <w:szCs w:val="21"/>
        </w:rPr>
      </w:pPr>
      <w:r>
        <w:rPr>
          <w:rFonts w:ascii="Times New Roman" w:cs="Times New Roman" w:hAnsiTheme="minorEastAsia"/>
          <w:szCs w:val="21"/>
        </w:rPr>
        <w:t>会政财</w:t>
      </w:r>
      <w:r>
        <w:rPr>
          <w:rFonts w:ascii="Times New Roman" w:hAnsi="Times New Roman" w:cs="Times New Roman"/>
          <w:szCs w:val="21"/>
        </w:rPr>
        <w:t>02</w:t>
      </w:r>
      <w:r>
        <w:rPr>
          <w:rFonts w:ascii="Times New Roman" w:cs="Times New Roman" w:hAnsiTheme="minorEastAsia"/>
          <w:szCs w:val="21"/>
        </w:rPr>
        <w:t>表</w:t>
      </w:r>
    </w:p>
    <w:p>
      <w:pPr>
        <w:ind w:left="-149" w:leftChars="-71"/>
        <w:rPr>
          <w:rFonts w:ascii="Times New Roman" w:hAnsi="Times New Roman" w:cs="Times New Roman"/>
          <w:szCs w:val="21"/>
        </w:rPr>
      </w:pPr>
      <w:r>
        <w:rPr>
          <w:rFonts w:ascii="Times New Roman" w:cs="Times New Roman" w:hAnsiTheme="minorEastAsia"/>
          <w:szCs w:val="21"/>
        </w:rPr>
        <w:t>编制单位：</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cs="Times New Roman" w:hAnsiTheme="minorEastAsia"/>
          <w:szCs w:val="21"/>
        </w:rPr>
        <w:t>年</w:t>
      </w:r>
      <w:r>
        <w:rPr>
          <w:rFonts w:ascii="Times New Roman" w:hAnsi="Times New Roman" w:cs="Times New Roman"/>
          <w:szCs w:val="21"/>
          <w:u w:val="single"/>
        </w:rPr>
        <w:t xml:space="preserve">   </w:t>
      </w:r>
      <w:r>
        <w:rPr>
          <w:rFonts w:ascii="Times New Roman" w:cs="Times New Roman" w:hAnsiTheme="minorEastAsia"/>
          <w:szCs w:val="21"/>
        </w:rPr>
        <w:t>月</w:t>
      </w:r>
      <w:r>
        <w:rPr>
          <w:rFonts w:ascii="Times New Roman" w:hAnsi="Times New Roman" w:cs="Times New Roman"/>
          <w:szCs w:val="21"/>
        </w:rPr>
        <w:t xml:space="preserve">                          </w:t>
      </w:r>
      <w:r>
        <w:rPr>
          <w:rFonts w:ascii="Times New Roman" w:cs="Times New Roman" w:hAnsiTheme="minorEastAsia"/>
          <w:szCs w:val="21"/>
        </w:rPr>
        <w:t>单位：元</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48"/>
        <w:gridCol w:w="1883"/>
        <w:gridCol w:w="18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839" w:type="pct"/>
            <w:tcBorders>
              <w:top w:val="single" w:color="auto" w:sz="12" w:space="0"/>
              <w:bottom w:val="single" w:color="auto" w:sz="12" w:space="0"/>
            </w:tcBorders>
            <w:vAlign w:val="center"/>
          </w:tcPr>
          <w:p>
            <w:pPr>
              <w:jc w:val="center"/>
              <w:rPr>
                <w:rFonts w:ascii="Times New Roman" w:hAnsi="Times New Roman" w:cs="Times New Roman"/>
                <w:b/>
                <w:szCs w:val="21"/>
              </w:rPr>
            </w:pPr>
            <w:r>
              <w:rPr>
                <w:rFonts w:ascii="Times New Roman" w:cs="Times New Roman" w:hAnsiTheme="minorEastAsia"/>
                <w:b/>
                <w:szCs w:val="21"/>
              </w:rPr>
              <w:t>项</w:t>
            </w:r>
            <w:r>
              <w:rPr>
                <w:rFonts w:ascii="Times New Roman" w:hAnsi="Times New Roman" w:cs="Times New Roman"/>
                <w:b/>
                <w:szCs w:val="21"/>
              </w:rPr>
              <w:t xml:space="preserve">  </w:t>
            </w:r>
            <w:r>
              <w:rPr>
                <w:rFonts w:ascii="Times New Roman" w:cs="Times New Roman" w:hAnsiTheme="minorEastAsia"/>
                <w:b/>
                <w:szCs w:val="21"/>
              </w:rPr>
              <w:t>目</w:t>
            </w:r>
          </w:p>
        </w:tc>
        <w:tc>
          <w:tcPr>
            <w:tcW w:w="1080" w:type="pct"/>
            <w:tcBorders>
              <w:top w:val="single" w:color="auto" w:sz="12" w:space="0"/>
              <w:bottom w:val="single" w:color="auto" w:sz="12" w:space="0"/>
            </w:tcBorders>
            <w:vAlign w:val="center"/>
          </w:tcPr>
          <w:p>
            <w:pPr>
              <w:jc w:val="center"/>
              <w:rPr>
                <w:rFonts w:ascii="Times New Roman" w:hAnsi="Times New Roman" w:cs="Times New Roman"/>
                <w:b/>
                <w:szCs w:val="21"/>
              </w:rPr>
            </w:pPr>
            <w:r>
              <w:rPr>
                <w:rFonts w:ascii="Times New Roman" w:cs="Times New Roman" w:hAnsiTheme="minorEastAsia"/>
                <w:b/>
                <w:szCs w:val="21"/>
              </w:rPr>
              <w:t>本月数</w:t>
            </w:r>
          </w:p>
        </w:tc>
        <w:tc>
          <w:tcPr>
            <w:tcW w:w="1080" w:type="pct"/>
            <w:tcBorders>
              <w:top w:val="single" w:color="auto" w:sz="12" w:space="0"/>
              <w:bottom w:val="single" w:color="auto" w:sz="12" w:space="0"/>
            </w:tcBorders>
            <w:shd w:val="clear" w:color="auto" w:fill="auto"/>
            <w:vAlign w:val="center"/>
          </w:tcPr>
          <w:p>
            <w:pPr>
              <w:jc w:val="center"/>
              <w:rPr>
                <w:rFonts w:ascii="Times New Roman" w:hAnsi="Times New Roman" w:cs="Times New Roman"/>
                <w:b/>
                <w:szCs w:val="21"/>
              </w:rPr>
            </w:pPr>
            <w:r>
              <w:rPr>
                <w:rFonts w:ascii="Times New Roman" w:cs="Times New Roman" w:hAnsiTheme="minorEastAsia"/>
                <w:b/>
                <w:szCs w:val="21"/>
              </w:rPr>
              <w:t>本年累计数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Borders>
              <w:top w:val="single" w:color="auto" w:sz="12" w:space="0"/>
            </w:tcBorders>
            <w:vAlign w:val="bottom"/>
          </w:tcPr>
          <w:p>
            <w:pPr>
              <w:rPr>
                <w:rFonts w:ascii="Times New Roman" w:hAnsi="Times New Roman" w:cs="Times New Roman"/>
                <w:b/>
                <w:szCs w:val="21"/>
              </w:rPr>
            </w:pPr>
            <w:r>
              <w:rPr>
                <w:rFonts w:ascii="Times New Roman" w:cs="Times New Roman" w:hAnsiTheme="minorEastAsia"/>
                <w:b/>
                <w:szCs w:val="21"/>
              </w:rPr>
              <w:t>一、本期收入</w:t>
            </w:r>
          </w:p>
        </w:tc>
        <w:tc>
          <w:tcPr>
            <w:tcW w:w="1080" w:type="pct"/>
            <w:tcBorders>
              <w:top w:val="single" w:color="auto" w:sz="12" w:space="0"/>
            </w:tcBorders>
          </w:tcPr>
          <w:p>
            <w:pPr>
              <w:jc w:val="center"/>
              <w:rPr>
                <w:rFonts w:ascii="Times New Roman" w:hAnsi="Times New Roman" w:cs="Times New Roman"/>
                <w:b/>
                <w:szCs w:val="21"/>
              </w:rPr>
            </w:pPr>
          </w:p>
        </w:tc>
        <w:tc>
          <w:tcPr>
            <w:tcW w:w="1080" w:type="pct"/>
            <w:tcBorders>
              <w:top w:val="single" w:color="auto" w:sz="12" w:space="0"/>
            </w:tcBorders>
            <w:shd w:val="clear" w:color="auto" w:fill="auto"/>
          </w:tcPr>
          <w:p>
            <w:pPr>
              <w:jc w:val="center"/>
              <w:rPr>
                <w:rFonts w:ascii="Times New Roman" w:hAnsi="Times New Roman" w:cs="Times New Roman"/>
                <w:b/>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（一）财政拨款收入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1050" w:firstLineChars="500"/>
              <w:rPr>
                <w:rFonts w:ascii="Times New Roman" w:hAnsi="Times New Roman" w:cs="Times New Roman"/>
                <w:szCs w:val="21"/>
              </w:rPr>
            </w:pPr>
            <w:r>
              <w:rPr>
                <w:rFonts w:ascii="Times New Roman" w:cs="Times New Roman" w:hAnsiTheme="minorEastAsia"/>
                <w:szCs w:val="21"/>
              </w:rPr>
              <w:t>其中：政府性基金收入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（二）事业收入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hAnsiTheme="minorEastAsia"/>
                <w:szCs w:val="21"/>
              </w:rPr>
              <w:t>其中：教育</w:t>
            </w:r>
            <w:r>
              <w:rPr>
                <w:rFonts w:hint="eastAsia" w:ascii="Times New Roman" w:cs="Times New Roman" w:hAnsiTheme="minorEastAsia"/>
                <w:szCs w:val="21"/>
              </w:rPr>
              <w:t>事业</w:t>
            </w:r>
            <w:r>
              <w:rPr>
                <w:rFonts w:ascii="Times New Roman" w:cs="Times New Roman" w:hAnsiTheme="minorEastAsia"/>
                <w:szCs w:val="21"/>
              </w:rPr>
              <w:t>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hAnsiTheme="minorEastAsia"/>
                <w:szCs w:val="21"/>
              </w:rPr>
              <w:t>科研</w:t>
            </w:r>
            <w:r>
              <w:rPr>
                <w:rFonts w:hint="eastAsia" w:ascii="Times New Roman" w:cs="Times New Roman" w:hAnsiTheme="minorEastAsia"/>
                <w:szCs w:val="21"/>
              </w:rPr>
              <w:t>事业</w:t>
            </w:r>
            <w:r>
              <w:rPr>
                <w:rFonts w:ascii="Times New Roman" w:cs="Times New Roman" w:hAnsiTheme="minorEastAsia"/>
                <w:szCs w:val="21"/>
              </w:rPr>
              <w:t>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（三）上级补助收入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（四）附属单位上缴收入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（五）经营收入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（六）非同级财政拨款收入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color w:val="000000"/>
                <w:kern w:val="0"/>
                <w:sz w:val="24"/>
                <w:szCs w:val="21"/>
              </w:rPr>
            </w:pPr>
            <w:r>
              <w:rPr>
                <w:rFonts w:ascii="Times New Roman" w:cs="Times New Roman" w:hAnsiTheme="minorEastAsia"/>
                <w:szCs w:val="21"/>
              </w:rPr>
              <w:t>（七）投资收益</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color w:val="000000"/>
                <w:kern w:val="0"/>
                <w:sz w:val="24"/>
                <w:szCs w:val="21"/>
              </w:rPr>
            </w:pPr>
            <w:r>
              <w:rPr>
                <w:rFonts w:ascii="Times New Roman" w:cs="Times New Roman" w:hAnsiTheme="minorEastAsia"/>
                <w:szCs w:val="21"/>
              </w:rPr>
              <w:t>（八）捐赠收入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color w:val="000000"/>
                <w:kern w:val="0"/>
                <w:sz w:val="24"/>
                <w:szCs w:val="21"/>
              </w:rPr>
            </w:pPr>
            <w:r>
              <w:rPr>
                <w:rFonts w:ascii="Times New Roman" w:cs="Times New Roman" w:hAnsiTheme="minorEastAsia"/>
                <w:szCs w:val="21"/>
              </w:rPr>
              <w:t>（九）利息收入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color w:val="000000"/>
                <w:kern w:val="0"/>
                <w:sz w:val="24"/>
                <w:szCs w:val="21"/>
              </w:rPr>
            </w:pPr>
            <w:r>
              <w:rPr>
                <w:rFonts w:ascii="Times New Roman" w:cs="Times New Roman" w:hAnsiTheme="minorEastAsia"/>
                <w:szCs w:val="21"/>
              </w:rPr>
              <w:t>（十）租金收入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color w:val="000000"/>
                <w:kern w:val="0"/>
                <w:sz w:val="24"/>
                <w:szCs w:val="21"/>
              </w:rPr>
            </w:pPr>
            <w:r>
              <w:rPr>
                <w:rFonts w:ascii="Times New Roman" w:cs="Times New Roman" w:hAnsiTheme="minorEastAsia"/>
                <w:szCs w:val="21"/>
              </w:rPr>
              <w:t>（十一）其他收入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cs="Times New Roman" w:hAnsiTheme="minorEastAsia"/>
                <w:szCs w:val="21"/>
              </w:rPr>
            </w:pPr>
            <w:r>
              <w:rPr>
                <w:rFonts w:hint="eastAsia" w:ascii="Times New Roman" w:cs="Times New Roman" w:hAnsiTheme="minorEastAsia"/>
                <w:szCs w:val="21"/>
              </w:rPr>
              <w:t xml:space="preserve">       其中：后勤保障单位净收入</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rPr>
                <w:rFonts w:ascii="Times New Roman" w:hAnsi="Times New Roman" w:cs="Times New Roman"/>
                <w:b/>
                <w:szCs w:val="21"/>
              </w:rPr>
            </w:pPr>
            <w:r>
              <w:rPr>
                <w:rFonts w:ascii="Times New Roman" w:cs="Times New Roman" w:hAnsiTheme="minorEastAsia"/>
                <w:b/>
                <w:szCs w:val="21"/>
              </w:rPr>
              <w:t>二、本期费用</w:t>
            </w:r>
          </w:p>
        </w:tc>
        <w:tc>
          <w:tcPr>
            <w:tcW w:w="1080" w:type="pct"/>
          </w:tcPr>
          <w:p>
            <w:pPr>
              <w:jc w:val="center"/>
              <w:rPr>
                <w:rFonts w:ascii="Times New Roman" w:hAnsi="Times New Roman" w:cs="Times New Roman"/>
                <w:b/>
                <w:szCs w:val="21"/>
              </w:rPr>
            </w:pPr>
          </w:p>
        </w:tc>
        <w:tc>
          <w:tcPr>
            <w:tcW w:w="1080" w:type="pct"/>
            <w:shd w:val="clear" w:color="auto" w:fill="auto"/>
          </w:tcPr>
          <w:p>
            <w:pPr>
              <w:jc w:val="center"/>
              <w:rPr>
                <w:rFonts w:ascii="Times New Roman" w:hAnsi="Times New Roman" w:cs="Times New Roman"/>
                <w:b/>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（一）业务活动费用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hAnsiTheme="minorEastAsia"/>
                <w:szCs w:val="21"/>
              </w:rPr>
              <w:t>其中：教育费用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hAnsiTheme="minorEastAsia"/>
                <w:szCs w:val="21"/>
              </w:rPr>
              <w:t>科研费用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cs="Times New Roman" w:hAnsiTheme="minorEastAsia"/>
                <w:szCs w:val="21"/>
              </w:rPr>
              <w:t>（二）单位管理费用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hAnsiTheme="minorEastAsia"/>
                <w:szCs w:val="21"/>
              </w:rPr>
              <w:t>其中：行政管理费用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1680" w:firstLineChars="800"/>
              <w:rPr>
                <w:rFonts w:ascii="Times New Roman" w:hAnsi="Times New Roman" w:cs="Times New Roman"/>
                <w:szCs w:val="21"/>
              </w:rPr>
            </w:pPr>
            <w:r>
              <w:rPr>
                <w:rFonts w:ascii="Times New Roman" w:cs="Times New Roman" w:hAnsiTheme="minorEastAsia"/>
                <w:szCs w:val="21"/>
              </w:rPr>
              <w:t>后勤保障费用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离退休费用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 xml:space="preserve">            单位统一负担的其他管理费用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（三）经营费用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（四）资产处置费用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（五）上缴上级费用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（六）对附属单位补助费用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（七）所得税费用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Pr>
          <w:p>
            <w:pPr>
              <w:ind w:firstLine="420" w:firstLineChars="200"/>
              <w:rPr>
                <w:rFonts w:ascii="Times New Roman" w:hAnsi="Times New Roman" w:cs="Times New Roman"/>
                <w:szCs w:val="21"/>
              </w:rPr>
            </w:pPr>
            <w:r>
              <w:rPr>
                <w:rFonts w:ascii="Times New Roman" w:hAnsi="Times New Roman" w:cs="Times New Roman"/>
                <w:szCs w:val="21"/>
              </w:rPr>
              <w:t>（八）其他费用</w:t>
            </w:r>
          </w:p>
        </w:tc>
        <w:tc>
          <w:tcPr>
            <w:tcW w:w="1080" w:type="pct"/>
          </w:tcPr>
          <w:p>
            <w:pPr>
              <w:jc w:val="center"/>
              <w:rPr>
                <w:rFonts w:ascii="Times New Roman" w:hAnsi="Times New Roman" w:cs="Times New Roman"/>
                <w:szCs w:val="21"/>
              </w:rPr>
            </w:pPr>
          </w:p>
        </w:tc>
        <w:tc>
          <w:tcPr>
            <w:tcW w:w="1080" w:type="pct"/>
            <w:shd w:val="clear" w:color="auto" w:fill="auto"/>
          </w:tcPr>
          <w:p>
            <w:pPr>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9" w:type="pct"/>
            <w:tcBorders>
              <w:bottom w:val="single" w:color="auto" w:sz="12" w:space="0"/>
            </w:tcBorders>
          </w:tcPr>
          <w:p>
            <w:pPr>
              <w:rPr>
                <w:rFonts w:ascii="Times New Roman" w:hAnsi="Times New Roman" w:cs="Times New Roman"/>
                <w:b/>
                <w:szCs w:val="21"/>
              </w:rPr>
            </w:pPr>
            <w:r>
              <w:rPr>
                <w:rFonts w:ascii="Times New Roman" w:hAnsi="Times New Roman" w:cs="Times New Roman"/>
                <w:b/>
                <w:szCs w:val="21"/>
              </w:rPr>
              <w:t>三、本期盈余</w:t>
            </w:r>
          </w:p>
        </w:tc>
        <w:tc>
          <w:tcPr>
            <w:tcW w:w="1080" w:type="pct"/>
            <w:tcBorders>
              <w:bottom w:val="single" w:color="auto" w:sz="12" w:space="0"/>
            </w:tcBorders>
          </w:tcPr>
          <w:p>
            <w:pPr>
              <w:jc w:val="center"/>
              <w:rPr>
                <w:rFonts w:ascii="Times New Roman" w:hAnsi="Times New Roman" w:cs="Times New Roman"/>
                <w:szCs w:val="21"/>
              </w:rPr>
            </w:pPr>
          </w:p>
        </w:tc>
        <w:tc>
          <w:tcPr>
            <w:tcW w:w="1080" w:type="pct"/>
            <w:tcBorders>
              <w:bottom w:val="single" w:color="auto" w:sz="12" w:space="0"/>
            </w:tcBorders>
            <w:shd w:val="clear" w:color="auto" w:fill="auto"/>
          </w:tcPr>
          <w:p>
            <w:pPr>
              <w:jc w:val="center"/>
              <w:rPr>
                <w:rFonts w:ascii="Times New Roman" w:hAnsi="Times New Roman" w:cs="Times New Roman"/>
                <w:szCs w:val="21"/>
              </w:rPr>
            </w:pPr>
          </w:p>
        </w:tc>
      </w:tr>
    </w:tbl>
    <w:p>
      <w:pPr>
        <w:rPr>
          <w:rFonts w:ascii="Times New Roman" w:hAnsi="Times New Roman" w:eastAsia="仿宋" w:cs="Times New Roman"/>
          <w:kern w:val="0"/>
          <w:sz w:val="28"/>
          <w:szCs w:val="28"/>
        </w:rPr>
      </w:pPr>
      <w:r>
        <w:rPr>
          <w:rFonts w:ascii="Times New Roman" w:hAnsi="Times New Roman" w:eastAsia="仿宋" w:cs="Times New Roman"/>
          <w:kern w:val="0"/>
          <w:sz w:val="28"/>
          <w:szCs w:val="28"/>
        </w:rPr>
        <w:t>附表2</w:t>
      </w:r>
      <w:r>
        <w:rPr>
          <w:rFonts w:hint="eastAsia" w:ascii="Times New Roman" w:hAnsi="Times New Roman" w:eastAsia="仿宋" w:cs="Times New Roman"/>
          <w:kern w:val="0"/>
          <w:sz w:val="28"/>
          <w:szCs w:val="28"/>
        </w:rPr>
        <w:t>：</w:t>
      </w:r>
      <w:r>
        <w:rPr>
          <w:rFonts w:ascii="Times New Roman" w:hAnsi="Times New Roman" w:eastAsia="仿宋" w:cs="Times New Roman"/>
          <w:kern w:val="0"/>
          <w:sz w:val="28"/>
          <w:szCs w:val="28"/>
        </w:rPr>
        <w:t xml:space="preserve">                </w:t>
      </w:r>
    </w:p>
    <w:p>
      <w:pPr>
        <w:ind w:firstLine="3092" w:firstLineChars="1100"/>
        <w:rPr>
          <w:rFonts w:ascii="Times New Roman" w:hAnsi="Times New Roman" w:cs="Times New Roman"/>
          <w:b/>
          <w:sz w:val="28"/>
          <w:szCs w:val="28"/>
        </w:rPr>
      </w:pPr>
      <w:r>
        <w:rPr>
          <w:rFonts w:ascii="Times New Roman" w:hAnsi="Times New Roman" w:cs="Times New Roman"/>
          <w:b/>
          <w:sz w:val="28"/>
          <w:szCs w:val="28"/>
        </w:rPr>
        <w:t>预算收入支出表</w:t>
      </w:r>
    </w:p>
    <w:p>
      <w:pPr>
        <w:jc w:val="right"/>
        <w:rPr>
          <w:rFonts w:ascii="Times New Roman" w:hAnsi="Times New Roman" w:cs="Times New Roman"/>
          <w:szCs w:val="21"/>
        </w:rPr>
      </w:pPr>
      <w:r>
        <w:rPr>
          <w:rFonts w:ascii="Times New Roman" w:hAnsi="Times New Roman" w:cs="Times New Roman"/>
          <w:szCs w:val="21"/>
        </w:rPr>
        <w:t>会政预01表</w:t>
      </w:r>
    </w:p>
    <w:p>
      <w:pPr>
        <w:jc w:val="left"/>
        <w:rPr>
          <w:rFonts w:ascii="Times New Roman" w:hAnsi="Times New Roman" w:cs="Times New Roman"/>
          <w:szCs w:val="21"/>
        </w:rPr>
      </w:pPr>
      <w:r>
        <w:rPr>
          <w:rFonts w:ascii="Times New Roman" w:hAnsi="Times New Roman" w:cs="Times New Roman"/>
          <w:szCs w:val="21"/>
        </w:rPr>
        <w:t>编制单位：</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rPr>
        <w:t>年                     单位：元</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04"/>
        <w:gridCol w:w="1574"/>
        <w:gridCol w:w="16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tcBorders>
              <w:top w:val="single" w:color="auto" w:sz="12" w:space="0"/>
              <w:bottom w:val="single" w:color="auto" w:sz="12" w:space="0"/>
            </w:tcBorders>
            <w:shd w:val="clear" w:color="auto" w:fill="auto"/>
            <w:vAlign w:val="bottom"/>
          </w:tcPr>
          <w:p>
            <w:pPr>
              <w:widowControl/>
              <w:jc w:val="center"/>
              <w:rPr>
                <w:rFonts w:ascii="Times New Roman" w:hAnsi="Times New Roman" w:cs="Times New Roman"/>
                <w:b/>
                <w:kern w:val="0"/>
                <w:sz w:val="22"/>
                <w:szCs w:val="21"/>
              </w:rPr>
            </w:pPr>
            <w:r>
              <w:rPr>
                <w:rFonts w:ascii="Times New Roman" w:hAnsi="Times New Roman" w:cs="Times New Roman"/>
                <w:b/>
                <w:kern w:val="0"/>
                <w:sz w:val="22"/>
                <w:szCs w:val="21"/>
              </w:rPr>
              <w:t>项  目</w:t>
            </w:r>
          </w:p>
        </w:tc>
        <w:tc>
          <w:tcPr>
            <w:tcW w:w="903" w:type="pct"/>
            <w:tcBorders>
              <w:top w:val="single" w:color="auto" w:sz="12" w:space="0"/>
              <w:bottom w:val="single" w:color="auto" w:sz="12" w:space="0"/>
            </w:tcBorders>
            <w:shd w:val="clear" w:color="auto" w:fill="auto"/>
            <w:vAlign w:val="bottom"/>
          </w:tcPr>
          <w:p>
            <w:pPr>
              <w:widowControl/>
              <w:jc w:val="center"/>
              <w:rPr>
                <w:rFonts w:ascii="Times New Roman" w:hAnsi="Times New Roman" w:cs="Times New Roman"/>
                <w:b/>
                <w:kern w:val="0"/>
                <w:sz w:val="22"/>
                <w:szCs w:val="21"/>
              </w:rPr>
            </w:pPr>
            <w:r>
              <w:rPr>
                <w:rFonts w:ascii="Times New Roman" w:hAnsi="Times New Roman" w:cs="Times New Roman"/>
                <w:b/>
                <w:kern w:val="0"/>
                <w:sz w:val="22"/>
                <w:szCs w:val="21"/>
              </w:rPr>
              <w:t>本年数</w:t>
            </w:r>
          </w:p>
        </w:tc>
        <w:tc>
          <w:tcPr>
            <w:tcW w:w="939" w:type="pct"/>
            <w:tcBorders>
              <w:top w:val="single" w:color="auto" w:sz="12" w:space="0"/>
              <w:bottom w:val="single" w:color="auto" w:sz="12" w:space="0"/>
            </w:tcBorders>
            <w:shd w:val="clear" w:color="auto" w:fill="auto"/>
            <w:vAlign w:val="bottom"/>
          </w:tcPr>
          <w:p>
            <w:pPr>
              <w:widowControl/>
              <w:jc w:val="center"/>
              <w:rPr>
                <w:rFonts w:ascii="Times New Roman" w:hAnsi="Times New Roman" w:cs="Times New Roman"/>
                <w:b/>
                <w:kern w:val="0"/>
                <w:sz w:val="22"/>
                <w:szCs w:val="21"/>
              </w:rPr>
            </w:pPr>
            <w:r>
              <w:rPr>
                <w:rFonts w:ascii="Times New Roman" w:hAnsi="Times New Roman" w:cs="Times New Roman"/>
                <w:b/>
                <w:kern w:val="0"/>
                <w:sz w:val="22"/>
                <w:szCs w:val="21"/>
              </w:rPr>
              <w:t>上年数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tcBorders>
              <w:top w:val="single" w:color="auto" w:sz="12" w:space="0"/>
            </w:tcBorders>
            <w:shd w:val="clear" w:color="auto" w:fill="auto"/>
            <w:vAlign w:val="bottom"/>
          </w:tcPr>
          <w:p>
            <w:pPr>
              <w:widowControl/>
              <w:jc w:val="left"/>
              <w:rPr>
                <w:rFonts w:ascii="Times New Roman" w:hAnsi="Times New Roman" w:cs="Times New Roman"/>
                <w:b/>
                <w:kern w:val="0"/>
                <w:szCs w:val="21"/>
              </w:rPr>
            </w:pPr>
            <w:r>
              <w:rPr>
                <w:rFonts w:ascii="Times New Roman" w:hAnsi="Times New Roman" w:cs="Times New Roman"/>
                <w:b/>
                <w:kern w:val="0"/>
                <w:szCs w:val="21"/>
              </w:rPr>
              <w:t>一、本年预算收入</w:t>
            </w:r>
          </w:p>
        </w:tc>
        <w:tc>
          <w:tcPr>
            <w:tcW w:w="903" w:type="pct"/>
            <w:tcBorders>
              <w:top w:val="single" w:color="auto" w:sz="12" w:space="0"/>
            </w:tcBorders>
            <w:shd w:val="clear" w:color="auto" w:fill="auto"/>
            <w:vAlign w:val="bottom"/>
          </w:tcPr>
          <w:p>
            <w:pPr>
              <w:widowControl/>
              <w:jc w:val="center"/>
              <w:rPr>
                <w:rFonts w:ascii="Times New Roman" w:hAnsi="Times New Roman" w:cs="Times New Roman"/>
                <w:kern w:val="0"/>
                <w:szCs w:val="21"/>
              </w:rPr>
            </w:pPr>
          </w:p>
        </w:tc>
        <w:tc>
          <w:tcPr>
            <w:tcW w:w="939" w:type="pct"/>
            <w:tcBorders>
              <w:top w:val="single" w:color="auto" w:sz="12" w:space="0"/>
            </w:tcBorders>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（一）财政拨款预算收入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其中：政府性基金收入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（二）事业预算收入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其中：教育</w:t>
            </w:r>
            <w:r>
              <w:rPr>
                <w:rFonts w:hint="eastAsia" w:ascii="Times New Roman" w:hAnsi="Times New Roman" w:cs="Times New Roman"/>
                <w:kern w:val="0"/>
                <w:szCs w:val="21"/>
              </w:rPr>
              <w:t>事业</w:t>
            </w:r>
            <w:r>
              <w:rPr>
                <w:rFonts w:ascii="Times New Roman" w:hAnsi="Times New Roman" w:cs="Times New Roman"/>
                <w:kern w:val="0"/>
                <w:szCs w:val="21"/>
              </w:rPr>
              <w:t>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科研</w:t>
            </w:r>
            <w:r>
              <w:rPr>
                <w:rFonts w:hint="eastAsia" w:ascii="Times New Roman" w:hAnsi="Times New Roman" w:cs="Times New Roman"/>
                <w:kern w:val="0"/>
                <w:szCs w:val="21"/>
              </w:rPr>
              <w:t>事业</w:t>
            </w:r>
            <w:r>
              <w:rPr>
                <w:rFonts w:ascii="Times New Roman" w:hAnsi="Times New Roman" w:cs="Times New Roman"/>
                <w:kern w:val="0"/>
                <w:szCs w:val="21"/>
              </w:rPr>
              <w:t>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（三）上级补助预算收入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（四）附属单位上缴预算收入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（五）经营预算收入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（六）债务预算收入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（七）非同级财政拨款预算收入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（八）投资预算收益 </w:t>
            </w:r>
          </w:p>
        </w:tc>
        <w:tc>
          <w:tcPr>
            <w:tcW w:w="903" w:type="pct"/>
            <w:shd w:val="clear" w:color="auto" w:fill="auto"/>
            <w:vAlign w:val="bottom"/>
          </w:tcPr>
          <w:p>
            <w:pPr>
              <w:rPr>
                <w:rFonts w:ascii="Times New Roman" w:hAnsi="Times New Roman" w:cs="Times New Roman"/>
                <w:kern w:val="0"/>
                <w:szCs w:val="21"/>
              </w:rPr>
            </w:pPr>
            <w:r>
              <w:rPr>
                <w:rFonts w:ascii="Times New Roman" w:hAnsi="Times New Roman" w:cs="Times New Roman"/>
                <w:kern w:val="0"/>
                <w:szCs w:val="21"/>
              </w:rPr>
              <w:t xml:space="preserve">        </w:t>
            </w: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（九）</w:t>
            </w:r>
            <w:r>
              <w:rPr>
                <w:rFonts w:hint="eastAsia" w:ascii="Times New Roman" w:hAnsi="Times New Roman" w:cs="Times New Roman"/>
                <w:kern w:val="0"/>
                <w:szCs w:val="21"/>
              </w:rPr>
              <w:t>其他预算收入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ind w:firstLine="630" w:firstLineChars="300"/>
              <w:jc w:val="left"/>
              <w:rPr>
                <w:rFonts w:ascii="Times New Roman" w:hAnsi="Times New Roman" w:cs="Times New Roman"/>
                <w:kern w:val="0"/>
                <w:szCs w:val="21"/>
              </w:rPr>
            </w:pPr>
            <w:r>
              <w:rPr>
                <w:rFonts w:ascii="Times New Roman" w:hAnsi="Times New Roman" w:cs="Times New Roman"/>
                <w:kern w:val="0"/>
                <w:szCs w:val="21"/>
              </w:rPr>
              <w:t>其中：利息预算收入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trPr>
        <w:tc>
          <w:tcPr>
            <w:tcW w:w="3158" w:type="pct"/>
            <w:shd w:val="clear" w:color="auto" w:fill="auto"/>
            <w:vAlign w:val="bottom"/>
          </w:tcPr>
          <w:p>
            <w:pPr>
              <w:widowControl/>
              <w:ind w:firstLine="1260" w:firstLineChars="600"/>
              <w:jc w:val="left"/>
              <w:rPr>
                <w:rFonts w:ascii="Times New Roman" w:hAnsi="Times New Roman" w:cs="Times New Roman"/>
                <w:kern w:val="0"/>
                <w:szCs w:val="21"/>
              </w:rPr>
            </w:pPr>
            <w:r>
              <w:rPr>
                <w:rFonts w:ascii="Times New Roman" w:hAnsi="Times New Roman" w:cs="Times New Roman"/>
                <w:kern w:val="0"/>
                <w:szCs w:val="21"/>
              </w:rPr>
              <w:t>捐赠预算收入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ind w:firstLine="1260" w:firstLineChars="600"/>
              <w:jc w:val="left"/>
              <w:rPr>
                <w:rFonts w:ascii="Times New Roman" w:hAnsi="Times New Roman" w:cs="Times New Roman"/>
                <w:kern w:val="0"/>
                <w:szCs w:val="21"/>
              </w:rPr>
            </w:pPr>
            <w:r>
              <w:rPr>
                <w:rFonts w:ascii="Times New Roman" w:hAnsi="Times New Roman" w:cs="Times New Roman"/>
                <w:kern w:val="0"/>
                <w:szCs w:val="21"/>
              </w:rPr>
              <w:t>租金预算收入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ind w:firstLine="1260" w:firstLineChars="600"/>
              <w:jc w:val="left"/>
              <w:rPr>
                <w:rFonts w:ascii="Times New Roman" w:hAnsi="Times New Roman" w:cs="Times New Roman"/>
                <w:kern w:val="0"/>
                <w:szCs w:val="21"/>
              </w:rPr>
            </w:pPr>
            <w:r>
              <w:rPr>
                <w:rFonts w:hint="eastAsia" w:ascii="Times New Roman" w:hAnsi="Times New Roman" w:cs="Times New Roman"/>
                <w:kern w:val="0"/>
                <w:szCs w:val="21"/>
              </w:rPr>
              <w:t>后勤保障单位净预算收入</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b/>
                <w:kern w:val="0"/>
                <w:szCs w:val="21"/>
              </w:rPr>
            </w:pPr>
            <w:r>
              <w:rPr>
                <w:rFonts w:ascii="Times New Roman" w:hAnsi="Times New Roman" w:cs="Times New Roman"/>
                <w:b/>
                <w:kern w:val="0"/>
                <w:szCs w:val="21"/>
              </w:rPr>
              <w:t>二、本年预算支出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（一）行政支出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（二）事业支出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其中：教育支出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科研支出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w:t>
            </w:r>
            <w:r>
              <w:rPr>
                <w:rFonts w:hint="eastAsia" w:ascii="Times New Roman" w:hAnsi="Times New Roman" w:cs="Times New Roman"/>
                <w:kern w:val="0"/>
                <w:szCs w:val="21"/>
              </w:rPr>
              <w:t>行政</w:t>
            </w:r>
            <w:r>
              <w:rPr>
                <w:rFonts w:ascii="Times New Roman" w:hAnsi="Times New Roman" w:cs="Times New Roman"/>
                <w:kern w:val="0"/>
                <w:szCs w:val="21"/>
              </w:rPr>
              <w:t>管理支出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后勤保障支出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 xml:space="preserve">            离退休支出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（三）经营支出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（四）上缴上级支出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（五）对附属单位补助支出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（六）投资支出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（七）债务还本支出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jc w:val="left"/>
              <w:rPr>
                <w:rFonts w:ascii="Times New Roman" w:hAnsi="Times New Roman" w:cs="Times New Roman"/>
                <w:kern w:val="0"/>
                <w:szCs w:val="21"/>
              </w:rPr>
            </w:pPr>
            <w:r>
              <w:rPr>
                <w:rFonts w:ascii="Times New Roman" w:hAnsi="Times New Roman" w:cs="Times New Roman"/>
                <w:kern w:val="0"/>
                <w:szCs w:val="21"/>
              </w:rPr>
              <w:t>（八）其他支出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ind w:firstLine="630" w:firstLineChars="300"/>
              <w:jc w:val="left"/>
              <w:rPr>
                <w:rFonts w:ascii="Times New Roman" w:hAnsi="Times New Roman" w:cs="Times New Roman"/>
                <w:kern w:val="0"/>
                <w:szCs w:val="21"/>
              </w:rPr>
            </w:pPr>
            <w:r>
              <w:rPr>
                <w:rFonts w:ascii="Times New Roman" w:hAnsi="Times New Roman" w:cs="Times New Roman"/>
                <w:kern w:val="0"/>
                <w:szCs w:val="21"/>
              </w:rPr>
              <w:t>其中：利息支出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shd w:val="clear" w:color="auto" w:fill="auto"/>
            <w:vAlign w:val="bottom"/>
          </w:tcPr>
          <w:p>
            <w:pPr>
              <w:widowControl/>
              <w:ind w:firstLine="420" w:firstLineChars="200"/>
              <w:jc w:val="left"/>
              <w:rPr>
                <w:rFonts w:ascii="Times New Roman" w:hAnsi="Times New Roman" w:cs="Times New Roman"/>
                <w:kern w:val="0"/>
                <w:szCs w:val="21"/>
              </w:rPr>
            </w:pPr>
            <w:r>
              <w:rPr>
                <w:rFonts w:ascii="Times New Roman" w:hAnsi="Times New Roman" w:cs="Times New Roman"/>
                <w:kern w:val="0"/>
                <w:szCs w:val="21"/>
              </w:rPr>
              <w:t xml:space="preserve">        捐赠支出</w:t>
            </w:r>
          </w:p>
        </w:tc>
        <w:tc>
          <w:tcPr>
            <w:tcW w:w="903" w:type="pct"/>
            <w:shd w:val="clear" w:color="auto" w:fill="auto"/>
            <w:vAlign w:val="bottom"/>
          </w:tcPr>
          <w:p>
            <w:pPr>
              <w:widowControl/>
              <w:jc w:val="center"/>
              <w:rPr>
                <w:rFonts w:ascii="Times New Roman" w:hAnsi="Times New Roman" w:cs="Times New Roman"/>
                <w:kern w:val="0"/>
                <w:szCs w:val="21"/>
              </w:rPr>
            </w:pPr>
          </w:p>
        </w:tc>
        <w:tc>
          <w:tcPr>
            <w:tcW w:w="939" w:type="pct"/>
            <w:shd w:val="clear" w:color="auto" w:fill="auto"/>
            <w:vAlign w:val="bottom"/>
          </w:tcPr>
          <w:p>
            <w:pPr>
              <w:widowControl/>
              <w:jc w:val="center"/>
              <w:rPr>
                <w:rFonts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58" w:type="pct"/>
            <w:tcBorders>
              <w:bottom w:val="single" w:color="auto" w:sz="12" w:space="0"/>
            </w:tcBorders>
            <w:shd w:val="clear" w:color="auto" w:fill="auto"/>
            <w:vAlign w:val="bottom"/>
          </w:tcPr>
          <w:p>
            <w:pPr>
              <w:widowControl/>
              <w:jc w:val="left"/>
              <w:rPr>
                <w:rFonts w:ascii="Times New Roman" w:hAnsi="Times New Roman" w:cs="Times New Roman"/>
                <w:b/>
                <w:kern w:val="0"/>
                <w:szCs w:val="21"/>
              </w:rPr>
            </w:pPr>
            <w:r>
              <w:rPr>
                <w:rFonts w:ascii="Times New Roman" w:hAnsi="Times New Roman" w:cs="Times New Roman"/>
                <w:b/>
                <w:kern w:val="0"/>
                <w:szCs w:val="21"/>
              </w:rPr>
              <w:t>三、本年预算收支差额</w:t>
            </w:r>
          </w:p>
        </w:tc>
        <w:tc>
          <w:tcPr>
            <w:tcW w:w="903" w:type="pct"/>
            <w:tcBorders>
              <w:bottom w:val="single" w:color="auto" w:sz="12" w:space="0"/>
            </w:tcBorders>
            <w:shd w:val="clear" w:color="auto" w:fill="auto"/>
            <w:vAlign w:val="bottom"/>
          </w:tcPr>
          <w:p>
            <w:pPr>
              <w:widowControl/>
              <w:jc w:val="center"/>
              <w:rPr>
                <w:rFonts w:ascii="Times New Roman" w:hAnsi="Times New Roman" w:cs="Times New Roman"/>
                <w:kern w:val="0"/>
                <w:szCs w:val="21"/>
              </w:rPr>
            </w:pPr>
          </w:p>
        </w:tc>
        <w:tc>
          <w:tcPr>
            <w:tcW w:w="939" w:type="pct"/>
            <w:tcBorders>
              <w:bottom w:val="single" w:color="auto" w:sz="12" w:space="0"/>
            </w:tcBorders>
            <w:shd w:val="clear" w:color="auto" w:fill="auto"/>
            <w:vAlign w:val="bottom"/>
          </w:tcPr>
          <w:p>
            <w:pPr>
              <w:widowControl/>
              <w:jc w:val="center"/>
              <w:rPr>
                <w:rFonts w:ascii="Times New Roman" w:hAnsi="Times New Roman" w:cs="Times New Roman"/>
                <w:kern w:val="0"/>
                <w:szCs w:val="21"/>
              </w:rPr>
            </w:pPr>
          </w:p>
        </w:tc>
      </w:tr>
    </w:tbl>
    <w:p>
      <w:pPr>
        <w:spacing w:line="360" w:lineRule="auto"/>
        <w:ind w:firstLine="640" w:firstLineChars="200"/>
        <w:rPr>
          <w:rFonts w:ascii="Times New Roman" w:hAnsi="Times New Roman" w:eastAsia="仿宋" w:cs="Times New Roman"/>
          <w:kern w:val="0"/>
          <w:sz w:val="32"/>
          <w:szCs w:val="32"/>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p>
    <w:p>
      <w:pPr>
        <w:spacing w:line="360" w:lineRule="auto"/>
        <w:rPr>
          <w:rFonts w:ascii="Times New Roman" w:hAnsi="Times New Roman" w:eastAsia="仿宋" w:cs="Times New Roman"/>
          <w:kern w:val="0"/>
          <w:sz w:val="28"/>
          <w:szCs w:val="28"/>
        </w:rPr>
      </w:pPr>
      <w:r>
        <w:rPr>
          <w:rFonts w:ascii="Times New Roman" w:hAnsi="Times New Roman" w:eastAsia="仿宋" w:cs="Times New Roman"/>
          <w:kern w:val="0"/>
          <w:sz w:val="28"/>
          <w:szCs w:val="28"/>
        </w:rPr>
        <w:t>附表3</w:t>
      </w:r>
      <w:r>
        <w:rPr>
          <w:rFonts w:hint="eastAsia" w:ascii="Times New Roman" w:hAnsi="Times New Roman" w:eastAsia="仿宋" w:cs="Times New Roman"/>
          <w:kern w:val="0"/>
          <w:sz w:val="28"/>
          <w:szCs w:val="28"/>
        </w:rPr>
        <w:t>：</w:t>
      </w:r>
      <w:r>
        <w:rPr>
          <w:rFonts w:ascii="Times New Roman" w:hAnsi="Times New Roman" w:eastAsia="仿宋" w:cs="Times New Roman"/>
          <w:kern w:val="0"/>
          <w:sz w:val="28"/>
          <w:szCs w:val="28"/>
        </w:rPr>
        <w:t xml:space="preserve">  </w:t>
      </w:r>
    </w:p>
    <w:p>
      <w:pPr>
        <w:jc w:val="center"/>
        <w:rPr>
          <w:rFonts w:ascii="Times New Roman" w:hAnsi="Times New Roman" w:eastAsia="仿宋_GB2312" w:cs="Times New Roman"/>
          <w:sz w:val="30"/>
          <w:szCs w:val="30"/>
        </w:rPr>
      </w:pPr>
      <w:r>
        <w:rPr>
          <w:rFonts w:ascii="Times New Roman" w:hAnsi="Times New Roman" w:eastAsia="华文中宋" w:cs="Times New Roman"/>
          <w:sz w:val="30"/>
          <w:szCs w:val="30"/>
        </w:rPr>
        <w:t>高等学校固定资产折旧年限表</w:t>
      </w:r>
    </w:p>
    <w:tbl>
      <w:tblPr>
        <w:tblStyle w:val="14"/>
        <w:tblpPr w:leftFromText="180" w:rightFromText="180" w:vertAnchor="text" w:horzAnchor="margin" w:tblpY="38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1806"/>
        <w:gridCol w:w="33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052" w:type="pct"/>
            <w:vAlign w:val="center"/>
          </w:tcPr>
          <w:p>
            <w:pPr>
              <w:jc w:val="center"/>
              <w:rPr>
                <w:rFonts w:ascii="Times New Roman" w:hAnsi="Times New Roman" w:cs="Times New Roman"/>
                <w:b/>
                <w:sz w:val="24"/>
              </w:rPr>
            </w:pPr>
            <w:r>
              <w:rPr>
                <w:rFonts w:ascii="Times New Roman" w:hAnsi="Times New Roman" w:cs="Times New Roman"/>
                <w:b/>
                <w:sz w:val="24"/>
              </w:rPr>
              <w:t>固定资产</w:t>
            </w:r>
            <w:r>
              <w:rPr>
                <w:rFonts w:hint="eastAsia" w:ascii="Times New Roman" w:hAnsi="Times New Roman" w:cs="Times New Roman"/>
                <w:b/>
                <w:sz w:val="24"/>
              </w:rPr>
              <w:t>类别</w:t>
            </w:r>
          </w:p>
        </w:tc>
        <w:tc>
          <w:tcPr>
            <w:tcW w:w="1036" w:type="pct"/>
            <w:vAlign w:val="center"/>
          </w:tcPr>
          <w:p>
            <w:pPr>
              <w:snapToGrid w:val="0"/>
              <w:jc w:val="center"/>
              <w:rPr>
                <w:rFonts w:ascii="Times New Roman" w:hAnsi="Times New Roman" w:cs="Times New Roman"/>
                <w:b/>
                <w:sz w:val="24"/>
              </w:rPr>
            </w:pPr>
            <w:r>
              <w:rPr>
                <w:rFonts w:ascii="Times New Roman" w:hAnsi="Times New Roman" w:cs="Times New Roman"/>
                <w:b/>
                <w:sz w:val="24"/>
              </w:rPr>
              <w:t>折旧年限（年）</w:t>
            </w:r>
          </w:p>
        </w:tc>
        <w:tc>
          <w:tcPr>
            <w:tcW w:w="1912" w:type="pct"/>
            <w:vAlign w:val="center"/>
          </w:tcPr>
          <w:p>
            <w:pPr>
              <w:jc w:val="center"/>
              <w:rPr>
                <w:rFonts w:ascii="Times New Roman" w:hAnsi="Times New Roman" w:cs="Times New Roman"/>
                <w:b/>
                <w:sz w:val="24"/>
              </w:rPr>
            </w:pPr>
            <w:r>
              <w:rPr>
                <w:rFonts w:ascii="Times New Roman" w:hAnsi="Times New Roman" w:cs="Times New Roman"/>
                <w:b/>
                <w:sz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vAlign w:val="center"/>
          </w:tcPr>
          <w:p>
            <w:pPr>
              <w:snapToGrid w:val="0"/>
              <w:spacing w:line="400" w:lineRule="atLeast"/>
              <w:rPr>
                <w:rFonts w:ascii="Times New Roman" w:hAnsi="Times New Roman" w:cs="Times New Roman"/>
                <w:sz w:val="24"/>
              </w:rPr>
            </w:pPr>
            <w:r>
              <w:rPr>
                <w:rFonts w:ascii="Times New Roman" w:hAnsi="Times New Roman" w:cs="Times New Roman"/>
                <w:b/>
                <w:sz w:val="24"/>
              </w:rPr>
              <w:t>一、房屋及构筑物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1.房屋</w:t>
            </w:r>
          </w:p>
        </w:tc>
        <w:tc>
          <w:tcPr>
            <w:tcW w:w="1036" w:type="pct"/>
            <w:vAlign w:val="center"/>
          </w:tcPr>
          <w:p>
            <w:pPr>
              <w:keepNext/>
              <w:keepLines/>
              <w:snapToGrid w:val="0"/>
              <w:spacing w:line="320" w:lineRule="exact"/>
              <w:rPr>
                <w:rFonts w:ascii="Times New Roman" w:hAnsi="Times New Roman" w:cs="Times New Roman"/>
                <w:sz w:val="24"/>
              </w:rPr>
            </w:pPr>
          </w:p>
        </w:tc>
        <w:tc>
          <w:tcPr>
            <w:tcW w:w="1912" w:type="pct"/>
            <w:vAlign w:val="center"/>
          </w:tcPr>
          <w:p>
            <w:pPr>
              <w:keepNext/>
              <w:keepLines/>
              <w:snapToGrid w:val="0"/>
              <w:spacing w:line="32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ind w:firstLine="240" w:firstLineChars="100"/>
              <w:rPr>
                <w:rFonts w:ascii="Times New Roman" w:hAnsi="Times New Roman" w:cs="Times New Roman"/>
                <w:sz w:val="24"/>
              </w:rPr>
            </w:pPr>
            <w:r>
              <w:rPr>
                <w:rFonts w:ascii="Times New Roman" w:hAnsi="Times New Roman" w:cs="Times New Roman"/>
                <w:sz w:val="24"/>
              </w:rPr>
              <w:t>钢结构</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50</w:t>
            </w:r>
          </w:p>
        </w:tc>
        <w:tc>
          <w:tcPr>
            <w:tcW w:w="1912" w:type="pct"/>
          </w:tcPr>
          <w:p>
            <w:pPr>
              <w:keepNext/>
              <w:keepLines/>
              <w:spacing w:line="320" w:lineRule="exact"/>
              <w:ind w:right="-874"/>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ind w:firstLine="240" w:firstLineChars="100"/>
              <w:rPr>
                <w:rFonts w:ascii="Times New Roman" w:hAnsi="Times New Roman" w:cs="Times New Roman"/>
                <w:sz w:val="24"/>
              </w:rPr>
            </w:pPr>
            <w:r>
              <w:rPr>
                <w:rFonts w:ascii="Times New Roman" w:hAnsi="Times New Roman" w:cs="Times New Roman"/>
                <w:sz w:val="24"/>
              </w:rPr>
              <w:t>钢筋混凝土结构</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50</w:t>
            </w:r>
          </w:p>
        </w:tc>
        <w:tc>
          <w:tcPr>
            <w:tcW w:w="1912" w:type="pct"/>
          </w:tcPr>
          <w:p>
            <w:pPr>
              <w:keepNext/>
              <w:keepLines/>
              <w:spacing w:line="320" w:lineRule="exact"/>
              <w:ind w:right="-874"/>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ind w:firstLine="240" w:firstLineChars="100"/>
              <w:rPr>
                <w:rFonts w:ascii="Times New Roman" w:hAnsi="Times New Roman" w:cs="Times New Roman"/>
                <w:sz w:val="24"/>
              </w:rPr>
            </w:pPr>
            <w:r>
              <w:rPr>
                <w:rFonts w:ascii="Times New Roman" w:hAnsi="Times New Roman" w:cs="Times New Roman"/>
                <w:sz w:val="24"/>
              </w:rPr>
              <w:t>砖混结构</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30</w:t>
            </w:r>
          </w:p>
        </w:tc>
        <w:tc>
          <w:tcPr>
            <w:tcW w:w="1912" w:type="pct"/>
          </w:tcPr>
          <w:p>
            <w:pPr>
              <w:keepNext/>
              <w:keepLines/>
              <w:spacing w:line="320" w:lineRule="exact"/>
              <w:ind w:right="-874"/>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ind w:firstLine="240" w:firstLineChars="100"/>
              <w:rPr>
                <w:rFonts w:ascii="Times New Roman" w:hAnsi="Times New Roman" w:cs="Times New Roman"/>
                <w:sz w:val="24"/>
              </w:rPr>
            </w:pPr>
            <w:r>
              <w:rPr>
                <w:rFonts w:ascii="Times New Roman" w:hAnsi="Times New Roman" w:cs="Times New Roman"/>
                <w:sz w:val="24"/>
              </w:rPr>
              <w:t>砖木结构</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30</w:t>
            </w:r>
          </w:p>
        </w:tc>
        <w:tc>
          <w:tcPr>
            <w:tcW w:w="1912" w:type="pct"/>
          </w:tcPr>
          <w:p>
            <w:pPr>
              <w:keepNext/>
              <w:keepLines/>
              <w:spacing w:line="320" w:lineRule="exact"/>
              <w:ind w:right="-874"/>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2.简易房</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8</w:t>
            </w:r>
          </w:p>
        </w:tc>
        <w:tc>
          <w:tcPr>
            <w:tcW w:w="1912" w:type="pct"/>
            <w:vAlign w:val="center"/>
          </w:tcPr>
          <w:p>
            <w:pPr>
              <w:snapToGrid w:val="0"/>
              <w:spacing w:line="32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3.房屋附属设施</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8</w:t>
            </w:r>
          </w:p>
        </w:tc>
        <w:tc>
          <w:tcPr>
            <w:tcW w:w="191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围墙、停车设施等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4.构筑物</w:t>
            </w:r>
          </w:p>
        </w:tc>
        <w:tc>
          <w:tcPr>
            <w:tcW w:w="1036" w:type="pct"/>
            <w:vAlign w:val="center"/>
          </w:tcPr>
          <w:p>
            <w:pPr>
              <w:spacing w:line="320" w:lineRule="exact"/>
              <w:jc w:val="center"/>
              <w:rPr>
                <w:rFonts w:ascii="Times New Roman" w:hAnsi="Times New Roman" w:cs="Times New Roman"/>
                <w:sz w:val="24"/>
              </w:rPr>
            </w:pPr>
            <w:r>
              <w:rPr>
                <w:rFonts w:ascii="Times New Roman" w:hAnsi="Times New Roman" w:cs="Times New Roman"/>
                <w:sz w:val="24"/>
              </w:rPr>
              <w:t>8</w:t>
            </w:r>
          </w:p>
        </w:tc>
        <w:tc>
          <w:tcPr>
            <w:tcW w:w="1912" w:type="pct"/>
            <w:vAlign w:val="center"/>
          </w:tcPr>
          <w:p>
            <w:pPr>
              <w:snapToGrid w:val="0"/>
              <w:spacing w:line="320" w:lineRule="exact"/>
              <w:rPr>
                <w:rFonts w:ascii="Times New Roman" w:hAnsi="Times New Roman" w:cs="Times New Roman"/>
                <w:sz w:val="24"/>
              </w:rPr>
            </w:pPr>
            <w:r>
              <w:rPr>
                <w:rFonts w:ascii="Times New Roman" w:hAnsi="Times New Roman" w:cs="Times New Roman"/>
                <w:sz w:val="24"/>
              </w:rPr>
              <w:t>池、罐、槽、塔等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vAlign w:val="center"/>
          </w:tcPr>
          <w:p>
            <w:pPr>
              <w:snapToGrid w:val="0"/>
              <w:spacing w:line="320" w:lineRule="exact"/>
              <w:rPr>
                <w:rFonts w:ascii="Times New Roman" w:hAnsi="Times New Roman" w:cs="Times New Roman"/>
                <w:sz w:val="24"/>
              </w:rPr>
            </w:pPr>
            <w:r>
              <w:rPr>
                <w:rFonts w:ascii="Times New Roman" w:hAnsi="Times New Roman" w:cs="Times New Roman"/>
                <w:b/>
                <w:sz w:val="24"/>
              </w:rPr>
              <w:t>二、通用设备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1.计算机设备</w:t>
            </w:r>
          </w:p>
        </w:tc>
        <w:tc>
          <w:tcPr>
            <w:tcW w:w="1036" w:type="pct"/>
            <w:vAlign w:val="center"/>
          </w:tcPr>
          <w:p>
            <w:pPr>
              <w:jc w:val="center"/>
              <w:rPr>
                <w:rFonts w:ascii="Times New Roman" w:hAnsi="Times New Roman" w:cs="Times New Roman"/>
                <w:sz w:val="24"/>
              </w:rPr>
            </w:pPr>
            <w:r>
              <w:rPr>
                <w:rFonts w:ascii="Times New Roman" w:hAnsi="Times New Roman" w:cs="Times New Roman"/>
                <w:sz w:val="24"/>
              </w:rPr>
              <w:t>6</w:t>
            </w:r>
          </w:p>
          <w:p>
            <w:pPr>
              <w:jc w:val="center"/>
              <w:rPr>
                <w:rFonts w:ascii="Times New Roman" w:hAnsi="Times New Roman" w:cs="Times New Roman"/>
                <w:sz w:val="24"/>
              </w:rPr>
            </w:pPr>
          </w:p>
        </w:tc>
        <w:tc>
          <w:tcPr>
            <w:tcW w:w="1912" w:type="pct"/>
            <w:vAlign w:val="center"/>
          </w:tcPr>
          <w:p>
            <w:pPr>
              <w:snapToGrid w:val="0"/>
              <w:spacing w:line="400" w:lineRule="exact"/>
              <w:rPr>
                <w:rFonts w:ascii="Times New Roman" w:hAnsi="Times New Roman" w:cs="Times New Roman"/>
                <w:sz w:val="24"/>
              </w:rPr>
            </w:pPr>
            <w:r>
              <w:rPr>
                <w:rFonts w:ascii="Times New Roman" w:hAnsi="Times New Roman" w:cs="Times New Roman"/>
                <w:sz w:val="24"/>
              </w:rPr>
              <w:t>计算机、网络设备、安全设备、终端设备、存储设备等</w:t>
            </w:r>
          </w:p>
          <w:p>
            <w:pPr>
              <w:snapToGrid w:val="0"/>
              <w:spacing w:line="4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2.办公设备</w:t>
            </w:r>
          </w:p>
        </w:tc>
        <w:tc>
          <w:tcPr>
            <w:tcW w:w="1036" w:type="pct"/>
            <w:vAlign w:val="center"/>
          </w:tcPr>
          <w:p>
            <w:pPr>
              <w:jc w:val="center"/>
              <w:rPr>
                <w:rFonts w:ascii="Times New Roman" w:hAnsi="Times New Roman" w:cs="Times New Roman"/>
                <w:sz w:val="24"/>
              </w:rPr>
            </w:pPr>
            <w:r>
              <w:rPr>
                <w:rFonts w:ascii="Times New Roman" w:hAnsi="Times New Roman" w:cs="Times New Roman"/>
                <w:sz w:val="24"/>
              </w:rPr>
              <w:t>6</w:t>
            </w:r>
          </w:p>
        </w:tc>
        <w:tc>
          <w:tcPr>
            <w:tcW w:w="1912" w:type="pct"/>
          </w:tcPr>
          <w:p>
            <w:pPr>
              <w:snapToGrid w:val="0"/>
              <w:spacing w:line="400" w:lineRule="exact"/>
              <w:rPr>
                <w:rFonts w:ascii="Times New Roman" w:hAnsi="Times New Roman" w:cs="Times New Roman"/>
                <w:sz w:val="24"/>
              </w:rPr>
            </w:pPr>
            <w:r>
              <w:rPr>
                <w:rFonts w:ascii="Times New Roman" w:hAnsi="Times New Roman" w:cs="Times New Roman"/>
                <w:sz w:val="24"/>
              </w:rPr>
              <w:t>电话机、传真机、摄像机、刻录机等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3.车辆</w:t>
            </w:r>
          </w:p>
        </w:tc>
        <w:tc>
          <w:tcPr>
            <w:tcW w:w="1036" w:type="pct"/>
            <w:vAlign w:val="center"/>
          </w:tcPr>
          <w:p>
            <w:pPr>
              <w:tabs>
                <w:tab w:val="center" w:pos="4153"/>
                <w:tab w:val="right" w:pos="8306"/>
              </w:tabs>
              <w:snapToGrid w:val="0"/>
              <w:jc w:val="center"/>
              <w:rPr>
                <w:rFonts w:ascii="Times New Roman" w:hAnsi="Times New Roman" w:cs="Times New Roman"/>
                <w:sz w:val="24"/>
              </w:rPr>
            </w:pPr>
            <w:r>
              <w:rPr>
                <w:rFonts w:ascii="Times New Roman" w:hAnsi="Times New Roman" w:cs="Times New Roman"/>
                <w:sz w:val="24"/>
              </w:rPr>
              <w:t>8</w:t>
            </w:r>
          </w:p>
        </w:tc>
        <w:tc>
          <w:tcPr>
            <w:tcW w:w="1912" w:type="pct"/>
          </w:tcPr>
          <w:p>
            <w:pPr>
              <w:tabs>
                <w:tab w:val="center" w:pos="4153"/>
                <w:tab w:val="right" w:pos="8306"/>
              </w:tabs>
              <w:snapToGrid w:val="0"/>
              <w:spacing w:line="400" w:lineRule="exact"/>
              <w:rPr>
                <w:rFonts w:ascii="Times New Roman" w:hAnsi="Times New Roman" w:cs="Times New Roman"/>
                <w:sz w:val="24"/>
              </w:rPr>
            </w:pPr>
            <w:r>
              <w:rPr>
                <w:rFonts w:ascii="Times New Roman" w:hAnsi="Times New Roman" w:cs="Times New Roman"/>
                <w:sz w:val="24"/>
              </w:rPr>
              <w:t>载货汽车、牵引汽车、乘用车、专用车辆等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4.图书档案设备</w:t>
            </w:r>
          </w:p>
        </w:tc>
        <w:tc>
          <w:tcPr>
            <w:tcW w:w="1036" w:type="pct"/>
            <w:vAlign w:val="center"/>
          </w:tcPr>
          <w:p>
            <w:pPr>
              <w:tabs>
                <w:tab w:val="center" w:pos="4153"/>
                <w:tab w:val="right" w:pos="8306"/>
              </w:tabs>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tabs>
                <w:tab w:val="center" w:pos="4153"/>
                <w:tab w:val="right" w:pos="8306"/>
              </w:tabs>
              <w:snapToGrid w:val="0"/>
              <w:spacing w:line="4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5.机械设备</w:t>
            </w:r>
          </w:p>
        </w:tc>
        <w:tc>
          <w:tcPr>
            <w:tcW w:w="1036" w:type="pct"/>
            <w:vAlign w:val="center"/>
          </w:tcPr>
          <w:p>
            <w:pPr>
              <w:tabs>
                <w:tab w:val="center" w:pos="4153"/>
                <w:tab w:val="right" w:pos="8306"/>
              </w:tabs>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tabs>
                <w:tab w:val="center" w:pos="4153"/>
                <w:tab w:val="right" w:pos="8306"/>
              </w:tabs>
              <w:snapToGrid w:val="0"/>
              <w:spacing w:line="400" w:lineRule="exact"/>
              <w:rPr>
                <w:rFonts w:ascii="Times New Roman" w:hAnsi="Times New Roman" w:cs="Times New Roman"/>
                <w:sz w:val="24"/>
              </w:rPr>
            </w:pPr>
            <w:r>
              <w:rPr>
                <w:rFonts w:ascii="Times New Roman" w:hAnsi="Times New Roman" w:cs="Times New Roman"/>
                <w:sz w:val="24"/>
              </w:rPr>
              <w:t>锅炉、液压机械、金属加工设备、泵、风机、气体压缩机、气体分离及液化设备、分离及干燥设备等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052" w:type="pct"/>
            <w:vAlign w:val="center"/>
          </w:tcPr>
          <w:p>
            <w:pPr>
              <w:snapToGrid w:val="0"/>
              <w:spacing w:line="400" w:lineRule="atLeast"/>
              <w:rPr>
                <w:rFonts w:ascii="Times New Roman" w:hAnsi="Times New Roman" w:cs="Times New Roman"/>
                <w:sz w:val="24"/>
              </w:rPr>
            </w:pPr>
            <w:r>
              <w:rPr>
                <w:rFonts w:ascii="Times New Roman" w:hAnsi="Times New Roman" w:cs="Times New Roman"/>
                <w:sz w:val="24"/>
              </w:rPr>
              <w:t>6.电气设备</w:t>
            </w:r>
          </w:p>
        </w:tc>
        <w:tc>
          <w:tcPr>
            <w:tcW w:w="1036" w:type="pct"/>
            <w:vAlign w:val="center"/>
          </w:tcPr>
          <w:p>
            <w:pPr>
              <w:tabs>
                <w:tab w:val="center" w:pos="4153"/>
                <w:tab w:val="right" w:pos="8306"/>
              </w:tabs>
              <w:snapToGrid w:val="0"/>
              <w:jc w:val="center"/>
              <w:rPr>
                <w:rFonts w:ascii="Times New Roman" w:hAnsi="Times New Roman" w:cs="Times New Roman"/>
                <w:sz w:val="24"/>
              </w:rPr>
            </w:pPr>
            <w:r>
              <w:rPr>
                <w:rFonts w:ascii="Times New Roman" w:hAnsi="Times New Roman" w:cs="Times New Roman"/>
                <w:sz w:val="24"/>
              </w:rPr>
              <w:t>5</w:t>
            </w:r>
          </w:p>
        </w:tc>
        <w:tc>
          <w:tcPr>
            <w:tcW w:w="1912" w:type="pct"/>
            <w:vAlign w:val="center"/>
          </w:tcPr>
          <w:p>
            <w:pPr>
              <w:tabs>
                <w:tab w:val="center" w:pos="4153"/>
                <w:tab w:val="right" w:pos="8306"/>
              </w:tabs>
              <w:snapToGrid w:val="0"/>
              <w:spacing w:line="400" w:lineRule="exact"/>
              <w:rPr>
                <w:rFonts w:ascii="Times New Roman" w:hAnsi="Times New Roman" w:cs="Times New Roman"/>
                <w:b/>
                <w:sz w:val="24"/>
              </w:rPr>
            </w:pPr>
            <w:r>
              <w:rPr>
                <w:rFonts w:ascii="Times New Roman" w:hAnsi="Times New Roman" w:cs="Times New Roman"/>
                <w:sz w:val="24"/>
              </w:rPr>
              <w:t>电机、变压器、电源设备、生活用电器等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00" w:lineRule="exact"/>
              <w:rPr>
                <w:rFonts w:ascii="Times New Roman" w:hAnsi="Times New Roman" w:cs="Times New Roman"/>
                <w:sz w:val="24"/>
              </w:rPr>
            </w:pPr>
            <w:r>
              <w:rPr>
                <w:rFonts w:ascii="Times New Roman" w:hAnsi="Times New Roman" w:cs="Times New Roman"/>
                <w:sz w:val="24"/>
              </w:rPr>
              <w:t>7.雷达、无线电和卫星导航设备</w:t>
            </w:r>
          </w:p>
        </w:tc>
        <w:tc>
          <w:tcPr>
            <w:tcW w:w="1036" w:type="pct"/>
            <w:vAlign w:val="center"/>
          </w:tcPr>
          <w:p>
            <w:pPr>
              <w:tabs>
                <w:tab w:val="center" w:pos="4153"/>
                <w:tab w:val="right" w:pos="8306"/>
              </w:tabs>
              <w:snapToGrid w:val="0"/>
              <w:spacing w:line="300" w:lineRule="exact"/>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spacing w:line="3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52" w:type="pct"/>
            <w:vAlign w:val="center"/>
          </w:tcPr>
          <w:p>
            <w:pPr>
              <w:snapToGrid w:val="0"/>
              <w:spacing w:line="300" w:lineRule="exact"/>
              <w:rPr>
                <w:rFonts w:ascii="Times New Roman" w:hAnsi="Times New Roman" w:cs="Times New Roman"/>
                <w:sz w:val="24"/>
              </w:rPr>
            </w:pPr>
            <w:r>
              <w:rPr>
                <w:rFonts w:ascii="Times New Roman" w:hAnsi="Times New Roman" w:cs="Times New Roman"/>
                <w:sz w:val="24"/>
              </w:rPr>
              <w:t>8.通信设备、广播、电视、电影设备</w:t>
            </w:r>
          </w:p>
        </w:tc>
        <w:tc>
          <w:tcPr>
            <w:tcW w:w="1036" w:type="pct"/>
            <w:vAlign w:val="center"/>
          </w:tcPr>
          <w:p>
            <w:pPr>
              <w:spacing w:line="300" w:lineRule="exact"/>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spacing w:line="3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52" w:type="pct"/>
            <w:vAlign w:val="center"/>
          </w:tcPr>
          <w:p>
            <w:pPr>
              <w:snapToGrid w:val="0"/>
              <w:spacing w:line="300" w:lineRule="exact"/>
              <w:rPr>
                <w:rFonts w:ascii="Times New Roman" w:hAnsi="Times New Roman" w:cs="Times New Roman"/>
                <w:sz w:val="24"/>
              </w:rPr>
            </w:pPr>
            <w:r>
              <w:rPr>
                <w:rFonts w:ascii="Times New Roman" w:hAnsi="Times New Roman" w:cs="Times New Roman"/>
                <w:sz w:val="24"/>
              </w:rPr>
              <w:t>9.仪器仪表、电子和通信测量仪器、计量标准器具及量具、衡器</w:t>
            </w:r>
          </w:p>
        </w:tc>
        <w:tc>
          <w:tcPr>
            <w:tcW w:w="1036" w:type="pct"/>
            <w:vAlign w:val="center"/>
          </w:tcPr>
          <w:p>
            <w:pPr>
              <w:spacing w:line="300" w:lineRule="exact"/>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spacing w:line="3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spacing w:line="300" w:lineRule="exact"/>
              <w:rPr>
                <w:rFonts w:ascii="Times New Roman" w:hAnsi="Times New Roman" w:cs="Times New Roman"/>
                <w:sz w:val="24"/>
              </w:rPr>
            </w:pPr>
            <w:r>
              <w:rPr>
                <w:rFonts w:ascii="Times New Roman" w:hAnsi="Times New Roman" w:cs="Times New Roman"/>
                <w:sz w:val="24"/>
              </w:rPr>
              <w:t>10.除上述以外其他通用设备</w:t>
            </w:r>
          </w:p>
        </w:tc>
        <w:tc>
          <w:tcPr>
            <w:tcW w:w="1036" w:type="pct"/>
            <w:vAlign w:val="center"/>
          </w:tcPr>
          <w:p>
            <w:pPr>
              <w:spacing w:line="300" w:lineRule="exact"/>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spacing w:line="3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vAlign w:val="center"/>
          </w:tcPr>
          <w:p>
            <w:pPr>
              <w:snapToGrid w:val="0"/>
              <w:spacing w:line="400" w:lineRule="exact"/>
              <w:ind w:right="-874"/>
              <w:rPr>
                <w:rFonts w:ascii="Times New Roman" w:hAnsi="Times New Roman" w:cs="Times New Roman"/>
                <w:sz w:val="24"/>
              </w:rPr>
            </w:pPr>
            <w:r>
              <w:rPr>
                <w:rFonts w:ascii="Times New Roman" w:hAnsi="Times New Roman" w:cs="Times New Roman"/>
                <w:b/>
                <w:sz w:val="24"/>
              </w:rPr>
              <w:t>三、专用设备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1.探矿、采矿、选矿和造块设备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2.石油天然气开采专用设备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3.石油和化学工业专用设备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4.炼焦和金属冶炼轧制设备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5.电力工业专用设备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20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6.核工业专用设备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20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7.航空航天工业专用设备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20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8.非金属矿物制品工业专用设备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9.工程机械</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vAlign w:val="center"/>
          </w:tcPr>
          <w:p>
            <w:pPr>
              <w:keepNext/>
              <w:keepLines/>
              <w:ind w:left="-720" w:right="-873" w:firstLine="766"/>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10.农业和林业机械</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11.木材采集和加工设备</w:t>
            </w:r>
          </w:p>
        </w:tc>
        <w:tc>
          <w:tcPr>
            <w:tcW w:w="1036" w:type="pct"/>
            <w:vAlign w:val="center"/>
          </w:tcPr>
          <w:p>
            <w:pPr>
              <w:tabs>
                <w:tab w:val="center" w:pos="4153"/>
                <w:tab w:val="right" w:pos="8306"/>
              </w:tabs>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12.食品加工专用设备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13.饮料加工设备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14.烟草加工设备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15.粮油作物和饲料加工设备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16.纺织设备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17.缝纫、服饰、制革和毛皮加工设备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18.造纸和印刷机械</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19.化学药品和中药专用设备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20.医疗设备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21.电工、电子专用生产设备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22.安全生产设备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23.邮政专用设备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24.环境污染防治设备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25.公安专用设备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3</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26.水工机械</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27.殡葬设备及用品</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28.铁路运输设备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29.水上交通运输设备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30.航空器及其配套设备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10</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31.专用仪器仪表</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32.文艺设备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33.体育设备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34.娱乐设备</w:t>
            </w:r>
          </w:p>
        </w:tc>
        <w:tc>
          <w:tcPr>
            <w:tcW w:w="1036" w:type="pct"/>
            <w:vAlign w:val="center"/>
          </w:tcPr>
          <w:p>
            <w:pPr>
              <w:snapToGrid w:val="0"/>
              <w:jc w:val="center"/>
              <w:rPr>
                <w:rFonts w:ascii="Times New Roman" w:hAnsi="Times New Roman" w:cs="Times New Roman"/>
                <w:sz w:val="24"/>
              </w:rPr>
            </w:pPr>
            <w:r>
              <w:rPr>
                <w:rFonts w:ascii="Times New Roman" w:hAnsi="Times New Roman" w:cs="Times New Roman"/>
                <w:sz w:val="24"/>
              </w:rPr>
              <w:t>5</w:t>
            </w:r>
          </w:p>
        </w:tc>
        <w:tc>
          <w:tcPr>
            <w:tcW w:w="1912" w:type="pct"/>
          </w:tcPr>
          <w:p>
            <w:pPr>
              <w:keepNext/>
              <w:keepLines/>
              <w:ind w:right="-873"/>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52" w:type="pct"/>
            <w:vAlign w:val="center"/>
          </w:tcPr>
          <w:p>
            <w:pPr>
              <w:snapToGrid w:val="0"/>
              <w:rPr>
                <w:rFonts w:ascii="Times New Roman" w:hAnsi="Times New Roman" w:cs="Times New Roman"/>
                <w:b/>
                <w:sz w:val="24"/>
              </w:rPr>
            </w:pPr>
            <w:r>
              <w:rPr>
                <w:rFonts w:ascii="Times New Roman" w:hAnsi="Times New Roman" w:cs="Times New Roman"/>
                <w:b/>
                <w:sz w:val="24"/>
              </w:rPr>
              <w:t>四、家具、用具、装具</w:t>
            </w:r>
          </w:p>
        </w:tc>
        <w:tc>
          <w:tcPr>
            <w:tcW w:w="1036" w:type="pct"/>
            <w:vAlign w:val="center"/>
          </w:tcPr>
          <w:p>
            <w:pPr>
              <w:ind w:firstLine="720" w:firstLineChars="300"/>
              <w:rPr>
                <w:rFonts w:ascii="Times New Roman" w:hAnsi="Times New Roman" w:cs="Times New Roman"/>
                <w:sz w:val="24"/>
              </w:rPr>
            </w:pPr>
          </w:p>
        </w:tc>
        <w:tc>
          <w:tcPr>
            <w:tcW w:w="1912" w:type="pct"/>
          </w:tcPr>
          <w:p>
            <w:pPr>
              <w:snapToGrid w:val="0"/>
              <w:spacing w:line="4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1.家具</w:t>
            </w:r>
          </w:p>
        </w:tc>
        <w:tc>
          <w:tcPr>
            <w:tcW w:w="1036" w:type="pct"/>
            <w:vAlign w:val="center"/>
          </w:tcPr>
          <w:p>
            <w:pPr>
              <w:jc w:val="center"/>
              <w:rPr>
                <w:rFonts w:ascii="Times New Roman" w:hAnsi="Times New Roman" w:cs="Times New Roman"/>
                <w:sz w:val="24"/>
              </w:rPr>
            </w:pPr>
            <w:r>
              <w:rPr>
                <w:rFonts w:ascii="Times New Roman" w:hAnsi="Times New Roman" w:cs="Times New Roman"/>
                <w:sz w:val="24"/>
              </w:rPr>
              <w:t>15</w:t>
            </w:r>
          </w:p>
        </w:tc>
        <w:tc>
          <w:tcPr>
            <w:tcW w:w="1912" w:type="pct"/>
          </w:tcPr>
          <w:p>
            <w:pPr>
              <w:snapToGrid w:val="0"/>
              <w:spacing w:line="4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52" w:type="pct"/>
            <w:vAlign w:val="center"/>
          </w:tcPr>
          <w:p>
            <w:pPr>
              <w:snapToGrid w:val="0"/>
              <w:rPr>
                <w:rFonts w:ascii="Times New Roman" w:hAnsi="Times New Roman" w:cs="Times New Roman"/>
                <w:sz w:val="24"/>
              </w:rPr>
            </w:pPr>
            <w:r>
              <w:rPr>
                <w:rFonts w:hint="eastAsia" w:ascii="Times New Roman" w:hAnsi="Times New Roman" w:cs="Times New Roman"/>
                <w:sz w:val="24"/>
              </w:rPr>
              <w:t xml:space="preserve"> 其中：学生用家具</w:t>
            </w:r>
          </w:p>
        </w:tc>
        <w:tc>
          <w:tcPr>
            <w:tcW w:w="1036" w:type="pct"/>
            <w:vAlign w:val="center"/>
          </w:tcPr>
          <w:p>
            <w:pPr>
              <w:jc w:val="center"/>
              <w:rPr>
                <w:rFonts w:ascii="Times New Roman" w:hAnsi="Times New Roman" w:cs="Times New Roman"/>
                <w:sz w:val="24"/>
              </w:rPr>
            </w:pPr>
            <w:r>
              <w:rPr>
                <w:rFonts w:hint="eastAsia" w:ascii="Times New Roman" w:hAnsi="Times New Roman" w:cs="Times New Roman"/>
                <w:sz w:val="24"/>
              </w:rPr>
              <w:t>5</w:t>
            </w:r>
          </w:p>
        </w:tc>
        <w:tc>
          <w:tcPr>
            <w:tcW w:w="1912" w:type="pct"/>
          </w:tcPr>
          <w:p>
            <w:pPr>
              <w:snapToGrid w:val="0"/>
              <w:spacing w:line="400" w:lineRule="exact"/>
              <w:rPr>
                <w:rFonts w:ascii="Times New Roman" w:hAnsi="Times New Roman"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52" w:type="pct"/>
            <w:vAlign w:val="center"/>
          </w:tcPr>
          <w:p>
            <w:pPr>
              <w:snapToGrid w:val="0"/>
              <w:rPr>
                <w:rFonts w:ascii="Times New Roman" w:hAnsi="Times New Roman" w:cs="Times New Roman"/>
                <w:sz w:val="24"/>
              </w:rPr>
            </w:pPr>
            <w:r>
              <w:rPr>
                <w:rFonts w:ascii="Times New Roman" w:hAnsi="Times New Roman" w:cs="Times New Roman"/>
                <w:sz w:val="24"/>
              </w:rPr>
              <w:t>2.用具、装具</w:t>
            </w:r>
          </w:p>
        </w:tc>
        <w:tc>
          <w:tcPr>
            <w:tcW w:w="1036" w:type="pct"/>
            <w:vAlign w:val="center"/>
          </w:tcPr>
          <w:p>
            <w:pPr>
              <w:jc w:val="center"/>
              <w:rPr>
                <w:rFonts w:ascii="Times New Roman" w:hAnsi="Times New Roman" w:cs="Times New Roman"/>
                <w:sz w:val="24"/>
              </w:rPr>
            </w:pPr>
            <w:r>
              <w:rPr>
                <w:rFonts w:ascii="Times New Roman" w:hAnsi="Times New Roman" w:cs="Times New Roman"/>
                <w:sz w:val="24"/>
              </w:rPr>
              <w:t>5</w:t>
            </w:r>
          </w:p>
        </w:tc>
        <w:tc>
          <w:tcPr>
            <w:tcW w:w="1912" w:type="pct"/>
          </w:tcPr>
          <w:p>
            <w:pPr>
              <w:snapToGrid w:val="0"/>
              <w:spacing w:line="400" w:lineRule="exact"/>
              <w:rPr>
                <w:rFonts w:ascii="Times New Roman" w:hAnsi="Times New Roman" w:cs="Times New Roman"/>
                <w:sz w:val="24"/>
              </w:rPr>
            </w:pPr>
          </w:p>
        </w:tc>
      </w:tr>
    </w:tbl>
    <w:p>
      <w:pPr>
        <w:spacing w:line="360" w:lineRule="auto"/>
        <w:rPr>
          <w:rFonts w:ascii="Times New Roman" w:hAnsi="Times New Roman" w:eastAsia="仿宋_GB2312" w:cs="Times New Roman"/>
          <w:sz w:val="24"/>
        </w:rPr>
      </w:pPr>
    </w:p>
    <w:p>
      <w:pPr>
        <w:rPr>
          <w:rFonts w:ascii="仿宋_GB2312" w:hAnsi="黑体" w:eastAsia="仿宋_GB2312" w:cs="宋体"/>
          <w:bCs/>
          <w:sz w:val="32"/>
          <w:szCs w:val="32"/>
        </w:rPr>
      </w:pPr>
    </w:p>
    <w:p>
      <w:pPr>
        <w:rPr>
          <w:rFonts w:ascii="仿宋_GB2312" w:hAnsi="黑体" w:eastAsia="仿宋_GB2312" w:cs="宋体"/>
          <w:bCs/>
          <w:sz w:val="32"/>
          <w:szCs w:val="32"/>
        </w:rPr>
      </w:pPr>
    </w:p>
    <w:p>
      <w:pPr>
        <w:rPr>
          <w:rFonts w:ascii="仿宋_GB2312" w:hAnsi="黑体" w:eastAsia="仿宋_GB2312" w:cs="宋体"/>
          <w:bCs/>
          <w:sz w:val="32"/>
          <w:szCs w:val="32"/>
        </w:rPr>
      </w:pPr>
    </w:p>
    <w:p>
      <w:pPr>
        <w:rPr>
          <w:rFonts w:ascii="仿宋_GB2312" w:hAnsi="黑体" w:eastAsia="仿宋_GB2312" w:cs="宋体"/>
          <w:bCs/>
          <w:sz w:val="32"/>
          <w:szCs w:val="32"/>
        </w:rPr>
      </w:pPr>
    </w:p>
    <w:p>
      <w:pPr>
        <w:rPr>
          <w:rFonts w:ascii="仿宋_GB2312" w:hAnsi="黑体" w:eastAsia="仿宋_GB2312" w:cs="宋体"/>
          <w:bCs/>
          <w:sz w:val="32"/>
          <w:szCs w:val="32"/>
        </w:rPr>
      </w:pPr>
    </w:p>
    <w:p>
      <w:pPr>
        <w:rPr>
          <w:rFonts w:ascii="仿宋_GB2312" w:hAnsi="黑体" w:eastAsia="仿宋_GB2312" w:cs="宋体"/>
          <w:bCs/>
          <w:sz w:val="32"/>
          <w:szCs w:val="32"/>
        </w:rPr>
      </w:pPr>
    </w:p>
    <w:p>
      <w:pPr>
        <w:rPr>
          <w:rFonts w:ascii="仿宋_GB2312" w:hAnsi="黑体" w:eastAsia="仿宋_GB2312" w:cs="宋体"/>
          <w:bCs/>
          <w:sz w:val="32"/>
          <w:szCs w:val="32"/>
        </w:rPr>
      </w:pPr>
      <w:r>
        <w:rPr>
          <w:rFonts w:hint="eastAsia" w:ascii="仿宋_GB2312" w:hAnsi="黑体" w:eastAsia="仿宋_GB2312" w:cs="宋体"/>
          <w:bCs/>
          <w:sz w:val="32"/>
          <w:szCs w:val="32"/>
        </w:rPr>
        <w:t>附件2：</w:t>
      </w:r>
    </w:p>
    <w:p>
      <w:pPr>
        <w:jc w:val="center"/>
        <w:rPr>
          <w:rFonts w:ascii="华文中宋" w:hAnsi="华文中宋" w:eastAsia="华文中宋" w:cs="华文中宋"/>
          <w:sz w:val="36"/>
          <w:szCs w:val="36"/>
        </w:rPr>
      </w:pPr>
      <w:r>
        <w:rPr>
          <w:rFonts w:hint="eastAsia" w:ascii="华文中宋" w:hAnsi="华文中宋" w:eastAsia="华文中宋" w:cs="华文中宋"/>
          <w:sz w:val="36"/>
          <w:szCs w:val="36"/>
        </w:rPr>
        <w:t>关于高等学校执行《政府会计制度——行政事业单位会计科目和报表》的衔接规定</w:t>
      </w:r>
    </w:p>
    <w:p>
      <w:pPr>
        <w:ind w:firstLine="704" w:firstLineChars="220"/>
        <w:rPr>
          <w:rFonts w:ascii="仿宋" w:hAnsi="仿宋" w:eastAsia="仿宋" w:cs="Times New Roman"/>
          <w:sz w:val="32"/>
          <w:szCs w:val="32"/>
        </w:rPr>
      </w:pPr>
    </w:p>
    <w:p>
      <w:pPr>
        <w:ind w:firstLine="704" w:firstLineChars="220"/>
        <w:rPr>
          <w:rFonts w:ascii="仿宋" w:hAnsi="仿宋" w:eastAsia="仿宋" w:cs="Times New Roman"/>
          <w:sz w:val="32"/>
          <w:szCs w:val="32"/>
        </w:rPr>
      </w:pPr>
      <w:r>
        <w:rPr>
          <w:rFonts w:ascii="Times New Roman" w:hAnsi="Times New Roman" w:eastAsia="仿宋_GB2312" w:cs="Times New Roman"/>
          <w:sz w:val="32"/>
          <w:szCs w:val="32"/>
        </w:rPr>
        <w:t>我部于2017年10月24日印发了《政府会计制度——行政事业单位会计科目和报表》（财会〔2017〕25号，以下简称新制度）。原执行《高等学校会计制度》（财会〔2013〕30号，以下简称原制度）的高等学校</w:t>
      </w:r>
      <w:r>
        <w:rPr>
          <w:rStyle w:val="20"/>
          <w:rFonts w:ascii="Times New Roman" w:hAnsi="Times New Roman" w:eastAsia="仿宋_GB2312"/>
          <w:sz w:val="32"/>
          <w:szCs w:val="32"/>
        </w:rPr>
        <w:footnoteReference w:id="3"/>
      </w:r>
      <w:r>
        <w:rPr>
          <w:rFonts w:ascii="Times New Roman" w:hAnsi="Times New Roman" w:eastAsia="仿宋_GB2312" w:cs="Times New Roman"/>
          <w:sz w:val="32"/>
          <w:szCs w:val="32"/>
        </w:rPr>
        <w:t>，自2019年1月1日起执行新制度，不再执行原制度。为了确保新旧会计制度顺利过渡，现对高等学校执行新制度</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关于高等学校执行&lt;政府会计制度——行政事业单位会计科目和报表&gt;的补充规定</w:t>
      </w:r>
      <w:r>
        <w:rPr>
          <w:rFonts w:hint="eastAsia" w:ascii="Times New Roman" w:hAnsi="Times New Roman" w:eastAsia="仿宋_GB2312" w:cs="Times New Roman"/>
          <w:sz w:val="32"/>
          <w:szCs w:val="32"/>
        </w:rPr>
        <w:t>》（以下简称补充规定）</w:t>
      </w:r>
      <w:r>
        <w:rPr>
          <w:rFonts w:ascii="Times New Roman" w:hAnsi="Times New Roman" w:eastAsia="仿宋_GB2312" w:cs="Times New Roman"/>
          <w:sz w:val="32"/>
          <w:szCs w:val="32"/>
        </w:rPr>
        <w:t>有关衔接问题规定如下：</w:t>
      </w:r>
    </w:p>
    <w:p>
      <w:pPr>
        <w:ind w:firstLine="640" w:firstLineChars="200"/>
        <w:rPr>
          <w:rFonts w:ascii="黑体" w:hAnsi="黑体" w:eastAsia="黑体" w:cs="Times New Roman"/>
          <w:bCs/>
          <w:sz w:val="32"/>
          <w:szCs w:val="32"/>
        </w:rPr>
      </w:pPr>
      <w:r>
        <w:rPr>
          <w:rFonts w:ascii="黑体" w:hAnsi="黑体" w:eastAsia="黑体" w:cs="Times New Roman"/>
          <w:bCs/>
          <w:sz w:val="32"/>
          <w:szCs w:val="32"/>
        </w:rPr>
        <w:t>一、新旧制度衔接总要求</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（一）自2019年１月１日起，高等学校应当严格按照新制度</w:t>
      </w:r>
      <w:r>
        <w:rPr>
          <w:rFonts w:hint="eastAsia" w:ascii="Times New Roman" w:hAnsi="Times New Roman" w:eastAsia="仿宋_GB2312" w:cs="Times New Roman"/>
          <w:sz w:val="32"/>
          <w:szCs w:val="32"/>
        </w:rPr>
        <w:t>及补充</w:t>
      </w:r>
      <w:r>
        <w:rPr>
          <w:rFonts w:ascii="Times New Roman" w:hAnsi="Times New Roman" w:eastAsia="仿宋_GB2312" w:cs="Times New Roman"/>
          <w:sz w:val="32"/>
          <w:szCs w:val="32"/>
        </w:rPr>
        <w:t>规定进行会计核算、编制财务报表和预算会计报表。</w:t>
      </w:r>
    </w:p>
    <w:p>
      <w:pPr>
        <w:ind w:firstLine="645"/>
        <w:rPr>
          <w:rFonts w:ascii="Times New Roman" w:hAnsi="Times New Roman" w:eastAsia="仿宋_GB2312" w:cs="Times New Roman"/>
          <w:sz w:val="32"/>
          <w:szCs w:val="32"/>
        </w:rPr>
      </w:pPr>
      <w:r>
        <w:rPr>
          <w:rFonts w:ascii="Times New Roman" w:hAnsi="Times New Roman" w:eastAsia="仿宋_GB2312" w:cs="Times New Roman"/>
          <w:sz w:val="32"/>
          <w:szCs w:val="32"/>
        </w:rPr>
        <w:t>（二）高等学校应当按照本规定做好新旧制度衔接的相关工作，主要包括以下几个方面：</w:t>
      </w:r>
    </w:p>
    <w:p>
      <w:pPr>
        <w:ind w:firstLine="645"/>
        <w:rPr>
          <w:rFonts w:ascii="Times New Roman" w:hAnsi="Times New Roman" w:eastAsia="仿宋_GB2312" w:cs="Times New Roman"/>
          <w:sz w:val="32"/>
          <w:szCs w:val="32"/>
        </w:rPr>
      </w:pPr>
      <w:r>
        <w:rPr>
          <w:rFonts w:ascii="Times New Roman" w:hAnsi="Times New Roman" w:eastAsia="仿宋_GB2312" w:cs="Times New Roman"/>
          <w:sz w:val="32"/>
          <w:szCs w:val="32"/>
        </w:rPr>
        <w:t>1.根据原账编制2018年12月31日的科目余额表，并按照本规定要求，编制原账的部分科目余额明细表（参见附表1、附表2）。</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2.按照新制度</w:t>
      </w:r>
      <w:r>
        <w:rPr>
          <w:rFonts w:hint="eastAsia" w:ascii="Times New Roman" w:hAnsi="Times New Roman" w:eastAsia="仿宋_GB2312" w:cs="Times New Roman"/>
          <w:sz w:val="32"/>
          <w:szCs w:val="32"/>
        </w:rPr>
        <w:t>及补充规定</w:t>
      </w:r>
      <w:r>
        <w:rPr>
          <w:rFonts w:ascii="Times New Roman" w:hAnsi="Times New Roman" w:eastAsia="仿宋_GB2312" w:cs="Times New Roman"/>
          <w:sz w:val="32"/>
          <w:szCs w:val="32"/>
        </w:rPr>
        <w:t>设立2019年1月1日的新账。</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按照本规定要求，登记新账的财务会计科目余额和预算结余科目余额，包括将原账科目余额转入新账财务会计科目、按照原账科目余额登记新账预算结余科目（高等学校新旧会计制度转账、登记新账科目对照表见附表3），将未入账事项登记新账科目，并对相关新账科目余额进行调整。原账科目是指按照原制度规定设置的会计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4.按照登记及调整后新账的各会计科目余额，编制2019年1月1日的科目余额表，作为新账各会计科目的期初余额。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5.根据新账各会计科目期初余额，按照新制度编制2019年1月1日资产负债表。</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（三）及时调整会计信息系统。高等学校应当按照新制度</w:t>
      </w:r>
      <w:r>
        <w:rPr>
          <w:rFonts w:hint="eastAsia" w:ascii="Times New Roman" w:hAnsi="Times New Roman" w:eastAsia="仿宋_GB2312" w:cs="Times New Roman"/>
          <w:sz w:val="32"/>
          <w:szCs w:val="32"/>
        </w:rPr>
        <w:t>及补充规定</w:t>
      </w:r>
      <w:r>
        <w:rPr>
          <w:rFonts w:ascii="Times New Roman" w:hAnsi="Times New Roman" w:eastAsia="仿宋_GB2312" w:cs="Times New Roman"/>
          <w:sz w:val="32"/>
          <w:szCs w:val="32"/>
        </w:rPr>
        <w:t>要求对原有会计信息系统进行及时更新和调试，实现数据正确转换，确保新旧账套的有序衔接。</w:t>
      </w:r>
    </w:p>
    <w:p>
      <w:pPr>
        <w:ind w:firstLine="704" w:firstLineChars="220"/>
        <w:rPr>
          <w:rFonts w:ascii="黑体" w:hAnsi="黑体" w:eastAsia="黑体" w:cs="Times New Roman"/>
          <w:bCs/>
          <w:sz w:val="32"/>
          <w:szCs w:val="32"/>
        </w:rPr>
      </w:pPr>
      <w:r>
        <w:rPr>
          <w:rFonts w:ascii="黑体" w:hAnsi="黑体" w:eastAsia="黑体" w:cs="Times New Roman"/>
          <w:bCs/>
          <w:sz w:val="32"/>
          <w:szCs w:val="32"/>
        </w:rPr>
        <w:t>二、财务会计</w:t>
      </w:r>
      <w:r>
        <w:rPr>
          <w:rFonts w:hint="eastAsia" w:ascii="黑体" w:hAnsi="黑体" w:eastAsia="黑体" w:cs="Times New Roman"/>
          <w:bCs/>
          <w:sz w:val="32"/>
          <w:szCs w:val="32"/>
        </w:rPr>
        <w:t>科目</w:t>
      </w:r>
      <w:r>
        <w:rPr>
          <w:rFonts w:ascii="黑体" w:hAnsi="黑体" w:eastAsia="黑体" w:cs="Times New Roman"/>
          <w:bCs/>
          <w:sz w:val="32"/>
          <w:szCs w:val="32"/>
        </w:rPr>
        <w:t>的新旧衔接</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（一）将2018年12月31日原账会计科目余额转入新账财务会计科目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1.资产类</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（1）“库存现金”、“财政应返还额度”、“</w:t>
      </w:r>
      <w:r>
        <w:rPr>
          <w:rFonts w:ascii="Times New Roman" w:hAnsi="Times New Roman" w:eastAsia="仿宋_GB2312" w:cs="Times New Roman"/>
          <w:kern w:val="0"/>
          <w:sz w:val="32"/>
          <w:szCs w:val="32"/>
        </w:rPr>
        <w:t>短期投资</w:t>
      </w:r>
      <w:r>
        <w:rPr>
          <w:rFonts w:ascii="Times New Roman" w:hAnsi="Times New Roman" w:eastAsia="仿宋_GB2312" w:cs="Times New Roman"/>
          <w:sz w:val="32"/>
          <w:szCs w:val="32"/>
        </w:rPr>
        <w:t>”、“应收票据”、“应收账款”、“无形资产”科目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新制度设置了“库存现金”、“财政应返还额度”、“</w:t>
      </w:r>
      <w:r>
        <w:rPr>
          <w:rFonts w:ascii="Times New Roman" w:hAnsi="Times New Roman" w:eastAsia="仿宋_GB2312" w:cs="Times New Roman"/>
          <w:kern w:val="0"/>
          <w:sz w:val="32"/>
          <w:szCs w:val="32"/>
        </w:rPr>
        <w:t>短期投资</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“应收票据”、“应收账款”、“无形资产”</w:t>
      </w:r>
      <w:r>
        <w:rPr>
          <w:rFonts w:ascii="Times New Roman" w:hAnsi="Times New Roman" w:eastAsia="仿宋_GB2312" w:cs="Times New Roman"/>
          <w:kern w:val="0"/>
          <w:sz w:val="32"/>
          <w:szCs w:val="32"/>
        </w:rPr>
        <w:t>科目，其核算内容与原账的上述相应科目的核算内容基本相同。转账时，应当将原账的上述科目余额直接转入新账的相应科目。其中，还应当将原账的“库存现金”科目余额中属于新制度规定受托代理资产的金额转入新账的“库存现金”科目下“受托代理资产”明细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“银行存款”科目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新制度设置了“银行存款”和“其他货币资金”科目，原制度设置了“银行存款”科目。转账时，高等学校应当将原账“银行存款”科目中核算的属于新制度规定的其他货币资金的金额，转入新账</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其他货币资金”科目；将原账“银行存款”科目余额减去其中属于其他货币资金余额后的差额，转入新账的“银行存款”科目。其中，还应当将原账的“银行存款”科目余额中属于新制度规定受托代理资产的金额，转入新账“银行存款”科目下的“受托代理资产”明细科目。</w:t>
      </w:r>
    </w:p>
    <w:p>
      <w:pPr>
        <w:numPr>
          <w:ilvl w:val="0"/>
          <w:numId w:val="5"/>
        </w:num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“预付账款”科目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新制度设置了“预付账款”科目，该科目的核算内容与原账“预付账款”科目的核算内容基本相同。转账时，高等学校应当将原账的“预付账款”科目余额转入新账的“预付账款”科目。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新制度设置了“受托代理资产”科目，高等学校在原账的“预付账款”科目中核算</w:t>
      </w:r>
      <w:r>
        <w:rPr>
          <w:rFonts w:hint="eastAsia" w:ascii="Times New Roman" w:hAnsi="Times New Roman" w:eastAsia="仿宋_GB2312" w:cs="Times New Roman"/>
          <w:kern w:val="0"/>
          <w:sz w:val="32"/>
          <w:szCs w:val="32"/>
        </w:rPr>
        <w:t>了</w:t>
      </w:r>
      <w:r>
        <w:rPr>
          <w:rFonts w:ascii="Times New Roman" w:hAnsi="Times New Roman" w:eastAsia="仿宋_GB2312" w:cs="Times New Roman"/>
          <w:kern w:val="0"/>
          <w:sz w:val="32"/>
          <w:szCs w:val="32"/>
        </w:rPr>
        <w:t>使用受托代理资金的预付账款</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，应当将原账的“预付账款”科目余额中使用受托代理资金的金额转入新账的“受托代理资产</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应收及暂付款”科目。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（4）</w:t>
      </w:r>
      <w:r>
        <w:rPr>
          <w:rFonts w:ascii="Times New Roman" w:hAnsi="Times New Roman" w:eastAsia="仿宋_GB2312" w:cs="Times New Roman"/>
          <w:sz w:val="32"/>
          <w:szCs w:val="32"/>
        </w:rPr>
        <w:t>“其他应收款”科目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新制度设置了“其他应收款”科目，该科目的核算内容与原账的“其他应收款”科目的核算内容基本相同。转账时，高等学校应当将原账的“其他应收款”科目余额转入新账的“其他应收款”科目。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在途物品”科目，高等学校如果有在原账“其他应收款”科目中核算已经付款或开出商业汇票、尚未收到物资的款项，应当将原账的“其他应收款”科目余额中已经付款或开出商业汇票、尚未收到物资的款项金额转入新账的“在途物品”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新制度设置了“受托代理资产”科目，高等学校如果有使用受托代理资金支付其他应收款的，应当将原账的“其他应收款”科目余额中使用受托代理资金的金额转入新账的“受托代理资产</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应收及暂付款”科目。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（5）</w:t>
      </w:r>
      <w:r>
        <w:rPr>
          <w:rFonts w:ascii="Times New Roman" w:hAnsi="Times New Roman" w:eastAsia="仿宋_GB2312" w:cs="Times New Roman"/>
          <w:sz w:val="32"/>
          <w:szCs w:val="32"/>
        </w:rPr>
        <w:t>“存货”科目</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新制度设置了“库存物品”</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加工物品”科目，原制度设置了“存货”科目。转账时，高等学校应当将原账的“存货”科目余额中属于在加工存货的金额，转入新账的“加工物品”科目；将原账的“存货”科目余额减去属于在加工存货的金额后的差额，转入新账的“库存物品”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高等学校在原账的“存货”科目中核算了属于新制度规定的受托代理物资的，应当将原账的“存货”科目余额中属于受托代理物资的金额，转入新账的“受托代理资产”科目。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（6）“长期投资”科目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新制度设置了“长期股权投资”和“长期债券投资”科目，</w:t>
      </w:r>
      <w:r>
        <w:rPr>
          <w:rFonts w:hint="eastAsia" w:ascii="Times New Roman" w:hAnsi="Times New Roman" w:eastAsia="仿宋_GB2312" w:cs="Times New Roman"/>
          <w:kern w:val="0"/>
          <w:sz w:val="32"/>
          <w:szCs w:val="32"/>
        </w:rPr>
        <w:t>原制度设置了</w:t>
      </w:r>
      <w:r>
        <w:rPr>
          <w:rFonts w:ascii="Times New Roman" w:hAnsi="Times New Roman" w:eastAsia="仿宋_GB2312" w:cs="Times New Roman"/>
          <w:kern w:val="0"/>
          <w:sz w:val="32"/>
          <w:szCs w:val="32"/>
        </w:rPr>
        <w:t>“长期投资”科目。转账时，高等学校应当将原账的“长期投资”科目余额中属于股权投资的金额转入新账的“长期股权投资”科目及其明细科目；将原账的“长期投资”科目余额中属于债券投资的金额</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转入新账的“长期债券投资”科目及其明细科目。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高等学校原账的“长期投资”科目核算的内容中，如果有被投资单位属于非企业法人单位的，应当在转账时先将对非企业法人单位出资的金额从原账的“长期投资”科目余额转出，借记原账的“非流动资产基金</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长期投资”科目，贷记原账的“长期投资”科目。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（7）“固定资产”科目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新制度设置了“固定资产”科目，该科目的核算内容与原账“固定资产”科目的核算内容基本相同。转账时，高等学校应当将原账的“固定资产”科目余额转入新账的“固定资产”科目。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高等学校有使用受托代理资金购买的固定资产</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，当将原账的“固定资产”科目余额中使用受托代理资金购买固定资产的金额转入新账的“受托代理资产</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固定资产”科目借方。</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（8）“累计折旧”科目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新制度设置了“固定资产累计折旧”科目，该科目的核算内容与原账“累计折旧”科目的核算内容基本相同。转账时，高等学校已经计提了固定资产折旧的</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应当将原账的“累计折旧”科目余额</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转入新账的“固定资产累计折旧”科目。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高等学校有使用受托代理资金购买的固定资产并计提了折旧</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当将原账的“累计折旧”科目余额中对使用受托代理资金购买固定资产计提折旧的金额转入新账的“</w:t>
      </w:r>
      <w:r>
        <w:rPr>
          <w:rFonts w:hint="eastAsia" w:ascii="Times New Roman" w:hAnsi="Times New Roman" w:eastAsia="仿宋_GB2312" w:cs="Times New Roman"/>
          <w:kern w:val="0"/>
          <w:sz w:val="32"/>
          <w:szCs w:val="32"/>
        </w:rPr>
        <w:t>累计盈余</w:t>
      </w:r>
      <w:r>
        <w:rPr>
          <w:rFonts w:ascii="Times New Roman" w:hAnsi="Times New Roman" w:eastAsia="仿宋_GB2312" w:cs="Times New Roman"/>
          <w:kern w:val="0"/>
          <w:sz w:val="32"/>
          <w:szCs w:val="32"/>
        </w:rPr>
        <w:t>”科目。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（9）</w:t>
      </w:r>
      <w:r>
        <w:rPr>
          <w:rFonts w:ascii="Times New Roman" w:hAnsi="Times New Roman" w:eastAsia="仿宋_GB2312" w:cs="Times New Roman"/>
          <w:sz w:val="32"/>
          <w:szCs w:val="32"/>
        </w:rPr>
        <w:t>“在建工程”科目</w:t>
      </w:r>
    </w:p>
    <w:p>
      <w:pPr>
        <w:ind w:firstLine="707" w:firstLineChars="22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在建工程”和“预付账款——预付备料款、预付工程款”科目，原制度设置了“在建工程”科目。转账时，高等学校应当将原账的“在建工程”科目余额（基建“并账”后的金额，下同）中属于预付备料款、预付工程款的金额，转入新账</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“预付账款”</w:t>
      </w:r>
      <w:r>
        <w:rPr>
          <w:rFonts w:hint="eastAsia" w:ascii="Times New Roman" w:hAnsi="Times New Roman" w:eastAsia="仿宋_GB2312" w:cs="Times New Roman"/>
          <w:kern w:val="0"/>
          <w:sz w:val="32"/>
          <w:szCs w:val="32"/>
        </w:rPr>
        <w:t>科目</w:t>
      </w:r>
      <w:r>
        <w:rPr>
          <w:rFonts w:ascii="Times New Roman" w:hAnsi="Times New Roman" w:eastAsia="仿宋_GB2312" w:cs="Times New Roman"/>
          <w:kern w:val="0"/>
          <w:sz w:val="32"/>
          <w:szCs w:val="32"/>
        </w:rPr>
        <w:t>相关明细科目；将原账的“在建工程”科目余额减去预付备料款、预付工程款金额后的差额，转入新账的“在建工程”科目。</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高等学校在原账“在建工程”科目中核算了按照新制度规定应当记入“工程物资”科目内容的，应当将原账 “在建工程”科目余额中属于工程物资的金额，转入新账的“工程物资”科目。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（10）“累计摊销”科目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新制度设置了“无形资产累计摊销”科目，该科目的核算内容与原账“累计摊销”科目的核算内容基本相同。转账时，高等学校已经计提了无形资产摊销的</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应当将原账的“累计摊销”科目余额</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转入新账的“无形资产累计摊销”科目。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11</w:t>
      </w:r>
      <w:r>
        <w:rPr>
          <w:rFonts w:ascii="Times New Roman" w:hAnsi="Times New Roman" w:eastAsia="仿宋_GB2312" w:cs="Times New Roman"/>
          <w:sz w:val="32"/>
          <w:szCs w:val="32"/>
        </w:rPr>
        <w:t>）“待处置资产损溢”科目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新制度设置了“待处理财产损溢”科目，该科目的核算内容与原账的</w:t>
      </w:r>
      <w:r>
        <w:rPr>
          <w:rFonts w:ascii="Times New Roman" w:hAnsi="Times New Roman" w:eastAsia="仿宋_GB2312" w:cs="Times New Roman"/>
          <w:sz w:val="32"/>
          <w:szCs w:val="32"/>
        </w:rPr>
        <w:t>“待处置资产损溢”</w:t>
      </w:r>
      <w:r>
        <w:rPr>
          <w:rFonts w:ascii="Times New Roman" w:hAnsi="Times New Roman" w:eastAsia="仿宋_GB2312" w:cs="Times New Roman"/>
          <w:kern w:val="0"/>
          <w:sz w:val="32"/>
          <w:szCs w:val="32"/>
        </w:rPr>
        <w:t>科目的核算内容基本相同。转账时，高等学校应当将原账的</w:t>
      </w:r>
      <w:r>
        <w:rPr>
          <w:rFonts w:ascii="Times New Roman" w:hAnsi="Times New Roman" w:eastAsia="仿宋_GB2312" w:cs="Times New Roman"/>
          <w:sz w:val="32"/>
          <w:szCs w:val="32"/>
        </w:rPr>
        <w:t>“待处置资产损溢”</w:t>
      </w:r>
      <w:r>
        <w:rPr>
          <w:rFonts w:ascii="Times New Roman" w:hAnsi="Times New Roman" w:eastAsia="仿宋_GB2312" w:cs="Times New Roman"/>
          <w:kern w:val="0"/>
          <w:sz w:val="32"/>
          <w:szCs w:val="32"/>
        </w:rPr>
        <w:t>科目余额，转入新账的“待处理财产损溢”科目。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12</w:t>
      </w:r>
      <w:r>
        <w:rPr>
          <w:rFonts w:ascii="Times New Roman" w:hAnsi="Times New Roman" w:eastAsia="仿宋_GB2312" w:cs="Times New Roman"/>
          <w:sz w:val="32"/>
          <w:szCs w:val="32"/>
        </w:rPr>
        <w:t>）“零余额账户用款额度”科目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由于原账的“零余额账户用款额度”科目年末无余额，</w:t>
      </w:r>
      <w:r>
        <w:rPr>
          <w:rFonts w:hint="eastAsia" w:ascii="Times New Roman" w:hAnsi="Times New Roman" w:eastAsia="仿宋_GB2312" w:cs="Times New Roman"/>
          <w:sz w:val="32"/>
          <w:szCs w:val="32"/>
        </w:rPr>
        <w:t>无</w:t>
      </w:r>
      <w:r>
        <w:rPr>
          <w:rFonts w:ascii="Times New Roman" w:hAnsi="Times New Roman" w:eastAsia="仿宋_GB2312" w:cs="Times New Roman"/>
          <w:sz w:val="32"/>
          <w:szCs w:val="32"/>
        </w:rPr>
        <w:t>需进行转账处理。</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2.负债类</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kern w:val="0"/>
          <w:sz w:val="32"/>
          <w:szCs w:val="32"/>
        </w:rPr>
        <w:t>“短期借款”</w:t>
      </w:r>
      <w:r>
        <w:rPr>
          <w:rFonts w:ascii="Times New Roman" w:hAnsi="Times New Roman" w:eastAsia="仿宋_GB2312" w:cs="Times New Roman"/>
          <w:sz w:val="32"/>
          <w:szCs w:val="32"/>
        </w:rPr>
        <w:t>、“应付职工薪酬”、“应付票据”、“应付账款”、“预收账款”、“长期借款”、“长期应付款”科目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w:t>
      </w:r>
      <w:r>
        <w:rPr>
          <w:rFonts w:ascii="Times New Roman" w:hAnsi="Times New Roman" w:eastAsia="仿宋_GB2312" w:cs="Times New Roman"/>
          <w:kern w:val="0"/>
          <w:sz w:val="32"/>
          <w:szCs w:val="32"/>
        </w:rPr>
        <w:t>“短期借款”</w:t>
      </w:r>
      <w:r>
        <w:rPr>
          <w:rFonts w:ascii="Times New Roman" w:hAnsi="Times New Roman" w:eastAsia="仿宋_GB2312" w:cs="Times New Roman"/>
          <w:sz w:val="32"/>
          <w:szCs w:val="32"/>
        </w:rPr>
        <w:t>、“应付职工薪酬”、“应付票据”、“应付账款”、“预收账款”、“长期借款”、“长期应付款”科目，</w:t>
      </w:r>
      <w:r>
        <w:rPr>
          <w:rFonts w:ascii="Times New Roman" w:hAnsi="Times New Roman" w:eastAsia="仿宋_GB2312" w:cs="Times New Roman"/>
          <w:kern w:val="0"/>
          <w:sz w:val="32"/>
          <w:szCs w:val="32"/>
        </w:rPr>
        <w:t>这些科目的核算内容与原账的上述相应科目的核算内容基本相同。转账时，高等学校应当将原账的上述科目余额直接转入新账的相应科目。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“应</w:t>
      </w:r>
      <w:r>
        <w:rPr>
          <w:rFonts w:hint="eastAsia" w:ascii="Times New Roman" w:hAnsi="Times New Roman" w:eastAsia="仿宋_GB2312" w:cs="Times New Roman"/>
          <w:sz w:val="32"/>
          <w:szCs w:val="32"/>
        </w:rPr>
        <w:t>缴</w:t>
      </w:r>
      <w:r>
        <w:rPr>
          <w:rFonts w:ascii="Times New Roman" w:hAnsi="Times New Roman" w:eastAsia="仿宋_GB2312" w:cs="Times New Roman"/>
          <w:sz w:val="32"/>
          <w:szCs w:val="32"/>
        </w:rPr>
        <w:t>税费”科目</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新制度设置了“应交增值税”和“其他应交税费”科目，原制度设置了</w:t>
      </w:r>
      <w:r>
        <w:rPr>
          <w:rFonts w:ascii="Times New Roman" w:hAnsi="Times New Roman" w:eastAsia="仿宋_GB2312" w:cs="Times New Roman"/>
          <w:sz w:val="32"/>
          <w:szCs w:val="32"/>
        </w:rPr>
        <w:t>“应缴税费”</w:t>
      </w:r>
      <w:r>
        <w:rPr>
          <w:rFonts w:ascii="Times New Roman" w:hAnsi="Times New Roman" w:eastAsia="仿宋_GB2312" w:cs="Times New Roman"/>
          <w:kern w:val="0"/>
          <w:sz w:val="32"/>
          <w:szCs w:val="32"/>
        </w:rPr>
        <w:t>科目。转账时，高等学校应当将原账的“应缴税费——应缴增值税”科目余额，转入新账“应交增值税”</w:t>
      </w:r>
      <w:r>
        <w:rPr>
          <w:rFonts w:hint="eastAsia" w:ascii="Times New Roman" w:hAnsi="Times New Roman" w:eastAsia="仿宋_GB2312" w:cs="Times New Roman"/>
          <w:kern w:val="0"/>
          <w:sz w:val="32"/>
          <w:szCs w:val="32"/>
        </w:rPr>
        <w:t>科目</w:t>
      </w:r>
      <w:r>
        <w:rPr>
          <w:rFonts w:ascii="Times New Roman" w:hAnsi="Times New Roman" w:eastAsia="仿宋_GB2312" w:cs="Times New Roman"/>
          <w:kern w:val="0"/>
          <w:sz w:val="32"/>
          <w:szCs w:val="32"/>
        </w:rPr>
        <w:t>中的相关明细科目；将原账的“应缴税费”科目余额减去属于应缴增值税余额后的差额，转入新账的“其他应交税费”科目。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（3）</w:t>
      </w:r>
      <w:r>
        <w:rPr>
          <w:rFonts w:ascii="Times New Roman" w:hAnsi="Times New Roman" w:eastAsia="仿宋_GB2312" w:cs="Times New Roman"/>
          <w:sz w:val="32"/>
          <w:szCs w:val="32"/>
        </w:rPr>
        <w:t>“应缴国库款”、“应缴财政专户款”科目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新制度设置了“应缴财政款”科目，</w:t>
      </w:r>
      <w:r>
        <w:rPr>
          <w:rFonts w:hint="eastAsia" w:ascii="Times New Roman" w:hAnsi="Times New Roman" w:eastAsia="仿宋_GB2312" w:cs="Times New Roman"/>
          <w:kern w:val="0"/>
          <w:sz w:val="32"/>
          <w:szCs w:val="32"/>
        </w:rPr>
        <w:t>原制度设置了</w:t>
      </w:r>
      <w:r>
        <w:rPr>
          <w:rFonts w:ascii="Times New Roman" w:hAnsi="Times New Roman" w:eastAsia="仿宋_GB2312" w:cs="Times New Roman"/>
          <w:sz w:val="32"/>
          <w:szCs w:val="32"/>
        </w:rPr>
        <w:t>“应缴国库款”、“应缴财政专户款”</w:t>
      </w:r>
      <w:r>
        <w:rPr>
          <w:rFonts w:ascii="Times New Roman" w:hAnsi="Times New Roman" w:eastAsia="仿宋_GB2312" w:cs="Times New Roman"/>
          <w:kern w:val="0"/>
          <w:sz w:val="32"/>
          <w:szCs w:val="32"/>
        </w:rPr>
        <w:t>科目。转账时，高等学校应当将原账的</w:t>
      </w:r>
      <w:r>
        <w:rPr>
          <w:rFonts w:ascii="Times New Roman" w:hAnsi="Times New Roman" w:eastAsia="仿宋_GB2312" w:cs="Times New Roman"/>
          <w:sz w:val="32"/>
          <w:szCs w:val="32"/>
        </w:rPr>
        <w:t>“应缴国库款”、“应缴财政专户款”</w:t>
      </w:r>
      <w:r>
        <w:rPr>
          <w:rFonts w:ascii="Times New Roman" w:hAnsi="Times New Roman" w:eastAsia="仿宋_GB2312" w:cs="Times New Roman"/>
          <w:kern w:val="0"/>
          <w:sz w:val="32"/>
          <w:szCs w:val="32"/>
        </w:rPr>
        <w:t>科目余额转入新账的“应缴财政款”科目。</w:t>
      </w:r>
    </w:p>
    <w:p>
      <w:pPr>
        <w:ind w:firstLine="4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（4）</w:t>
      </w:r>
      <w:r>
        <w:rPr>
          <w:rFonts w:ascii="Times New Roman" w:hAnsi="Times New Roman" w:eastAsia="仿宋_GB2312" w:cs="Times New Roman"/>
          <w:sz w:val="32"/>
          <w:szCs w:val="32"/>
        </w:rPr>
        <w:t>“其他应付款”科目</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新制度设置了“其他应付款”科目，该科目的核算内容与原账</w:t>
      </w:r>
      <w:r>
        <w:rPr>
          <w:rFonts w:ascii="Times New Roman" w:hAnsi="Times New Roman" w:eastAsia="仿宋_GB2312" w:cs="Times New Roman"/>
          <w:sz w:val="32"/>
          <w:szCs w:val="32"/>
        </w:rPr>
        <w:t>“其他应付款”</w:t>
      </w:r>
      <w:r>
        <w:rPr>
          <w:rFonts w:ascii="Times New Roman" w:hAnsi="Times New Roman" w:eastAsia="仿宋_GB2312" w:cs="Times New Roman"/>
          <w:kern w:val="0"/>
          <w:sz w:val="32"/>
          <w:szCs w:val="32"/>
        </w:rPr>
        <w:t>科目的核算内容基本相同。转账时，高等学校应当将原账的“其他应付款”科目余额，转入新账的“其他应付款”科目。其中，高等学校在原账的“其他应付款”科目中核算了属于新制度规定的受托代理负债的，应当将原账的“其他应付款”科目余额中属于受托代理负债的余额，转入新账的“受托代理负债”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（5）</w:t>
      </w:r>
      <w:r>
        <w:rPr>
          <w:rFonts w:ascii="Times New Roman" w:hAnsi="Times New Roman" w:eastAsia="仿宋_GB2312" w:cs="Times New Roman"/>
          <w:sz w:val="32"/>
          <w:szCs w:val="32"/>
        </w:rPr>
        <w:t>“代管款项”科目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新制度设置了“受托代理负债”科目，</w:t>
      </w:r>
      <w:r>
        <w:rPr>
          <w:rFonts w:ascii="Times New Roman" w:hAnsi="Times New Roman" w:eastAsia="仿宋_GB2312" w:cs="Times New Roman"/>
          <w:kern w:val="0"/>
          <w:sz w:val="32"/>
          <w:szCs w:val="32"/>
        </w:rPr>
        <w:t>原账的</w:t>
      </w:r>
      <w:r>
        <w:rPr>
          <w:rFonts w:ascii="Times New Roman" w:hAnsi="Times New Roman" w:eastAsia="仿宋_GB2312" w:cs="Times New Roman"/>
          <w:sz w:val="32"/>
          <w:szCs w:val="32"/>
        </w:rPr>
        <w:t>“代管款项”</w:t>
      </w:r>
      <w:r>
        <w:rPr>
          <w:rFonts w:ascii="Times New Roman" w:hAnsi="Times New Roman" w:eastAsia="仿宋_GB2312" w:cs="Times New Roman"/>
          <w:kern w:val="0"/>
          <w:sz w:val="32"/>
          <w:szCs w:val="32"/>
        </w:rPr>
        <w:t>科目的核算内容包括了受托代理负债的内容。转账时，高等学校应当对原账中“代管款项”科目余额进行分析，将其中属于新制度规定受托代理负债的余额转入新账</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“受托代理负债”科目；将不属于受托代理负债的余额，根据偿还期限分别转入新账</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“其他应付款”和“长期应付款”科目。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3.净资产类</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（1）“事业基金”科目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新制度设置了“累计盈余”科目</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该科目</w:t>
      </w:r>
      <w:r>
        <w:rPr>
          <w:rFonts w:hint="eastAsia" w:ascii="Times New Roman" w:hAnsi="Times New Roman" w:eastAsia="仿宋_GB2312" w:cs="Times New Roman"/>
          <w:sz w:val="32"/>
          <w:szCs w:val="32"/>
        </w:rPr>
        <w:t>核算内容</w:t>
      </w:r>
      <w:r>
        <w:rPr>
          <w:rFonts w:ascii="Times New Roman" w:hAnsi="Times New Roman" w:eastAsia="仿宋_GB2312" w:cs="Times New Roman"/>
          <w:sz w:val="32"/>
          <w:szCs w:val="32"/>
        </w:rPr>
        <w:t>包含了原账“事业基金”科目</w:t>
      </w:r>
      <w:r>
        <w:rPr>
          <w:rFonts w:ascii="Times New Roman" w:hAnsi="Times New Roman" w:eastAsia="仿宋_GB2312" w:cs="Times New Roman"/>
          <w:kern w:val="0"/>
          <w:sz w:val="32"/>
          <w:szCs w:val="32"/>
        </w:rPr>
        <w:t>的</w:t>
      </w:r>
      <w:r>
        <w:rPr>
          <w:rFonts w:hint="eastAsia" w:ascii="Times New Roman" w:hAnsi="Times New Roman" w:eastAsia="仿宋_GB2312" w:cs="Times New Roman"/>
          <w:kern w:val="0"/>
          <w:sz w:val="32"/>
          <w:szCs w:val="32"/>
        </w:rPr>
        <w:t>核算</w:t>
      </w:r>
      <w:r>
        <w:rPr>
          <w:rFonts w:ascii="Times New Roman" w:hAnsi="Times New Roman" w:eastAsia="仿宋_GB2312" w:cs="Times New Roman"/>
          <w:kern w:val="0"/>
          <w:sz w:val="32"/>
          <w:szCs w:val="32"/>
        </w:rPr>
        <w:t>内容。转账时，高等学校应当将原账的</w:t>
      </w:r>
      <w:r>
        <w:rPr>
          <w:rFonts w:ascii="Times New Roman" w:hAnsi="Times New Roman" w:eastAsia="仿宋_GB2312" w:cs="Times New Roman"/>
          <w:sz w:val="32"/>
          <w:szCs w:val="32"/>
        </w:rPr>
        <w:t>“事业基金”科目</w:t>
      </w:r>
      <w:r>
        <w:rPr>
          <w:rFonts w:ascii="Times New Roman" w:hAnsi="Times New Roman" w:eastAsia="仿宋_GB2312" w:cs="Times New Roman"/>
          <w:kern w:val="0"/>
          <w:sz w:val="32"/>
          <w:szCs w:val="32"/>
        </w:rPr>
        <w:t>余额</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转入新账的“累计盈余”科目。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（2）“非流动资产基金”科目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依据新制度，无需</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原制度中“非流动资产基金”科目对应内容</w:t>
      </w:r>
      <w:r>
        <w:rPr>
          <w:rFonts w:hint="eastAsia" w:ascii="Times New Roman" w:hAnsi="Times New Roman" w:eastAsia="仿宋_GB2312" w:cs="Times New Roman"/>
          <w:sz w:val="32"/>
          <w:szCs w:val="32"/>
        </w:rPr>
        <w:t>进行</w:t>
      </w:r>
      <w:r>
        <w:rPr>
          <w:rFonts w:ascii="Times New Roman" w:hAnsi="Times New Roman" w:eastAsia="仿宋_GB2312" w:cs="Times New Roman"/>
          <w:sz w:val="32"/>
          <w:szCs w:val="32"/>
        </w:rPr>
        <w:t>核算。</w:t>
      </w:r>
      <w:r>
        <w:rPr>
          <w:rFonts w:ascii="Times New Roman" w:hAnsi="Times New Roman" w:eastAsia="仿宋_GB2312" w:cs="Times New Roman"/>
          <w:kern w:val="0"/>
          <w:sz w:val="32"/>
          <w:szCs w:val="32"/>
        </w:rPr>
        <w:t>转账时，高等学校应当将原账的</w:t>
      </w:r>
      <w:r>
        <w:rPr>
          <w:rFonts w:ascii="Times New Roman" w:hAnsi="Times New Roman" w:eastAsia="仿宋_GB2312" w:cs="Times New Roman"/>
          <w:sz w:val="32"/>
          <w:szCs w:val="32"/>
        </w:rPr>
        <w:t>“非流动资产基金”</w:t>
      </w:r>
      <w:r>
        <w:rPr>
          <w:rFonts w:ascii="Times New Roman" w:hAnsi="Times New Roman" w:eastAsia="仿宋_GB2312" w:cs="Times New Roman"/>
          <w:kern w:val="0"/>
          <w:sz w:val="32"/>
          <w:szCs w:val="32"/>
        </w:rPr>
        <w:t>科目余额转入新账的“累计盈余”科目。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高等学校有使用受托代理资金购买的固定资产</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转账时，应</w:t>
      </w:r>
      <w:r>
        <w:rPr>
          <w:rFonts w:ascii="Times New Roman" w:hAnsi="Times New Roman" w:eastAsia="仿宋_GB2312" w:cs="Times New Roman"/>
          <w:kern w:val="0"/>
          <w:sz w:val="32"/>
          <w:szCs w:val="32"/>
        </w:rPr>
        <w:t>当将</w:t>
      </w:r>
      <w:r>
        <w:rPr>
          <w:rFonts w:hint="eastAsia" w:ascii="Times New Roman" w:hAnsi="Times New Roman" w:eastAsia="仿宋_GB2312" w:cs="Times New Roman"/>
          <w:kern w:val="0"/>
          <w:sz w:val="32"/>
          <w:szCs w:val="32"/>
        </w:rPr>
        <w:t>“非流动资产基金——固定资产”科目余额中属于受托代理固定资产原值的金额转入</w:t>
      </w:r>
      <w:r>
        <w:rPr>
          <w:rFonts w:ascii="Times New Roman" w:hAnsi="Times New Roman" w:eastAsia="仿宋_GB2312" w:cs="Times New Roman"/>
          <w:kern w:val="0"/>
          <w:sz w:val="32"/>
          <w:szCs w:val="32"/>
        </w:rPr>
        <w:t>新账的“受托代理</w:t>
      </w:r>
      <w:r>
        <w:rPr>
          <w:rFonts w:hint="eastAsia" w:ascii="Times New Roman" w:hAnsi="Times New Roman" w:eastAsia="仿宋_GB2312" w:cs="Times New Roman"/>
          <w:kern w:val="0"/>
          <w:sz w:val="32"/>
          <w:szCs w:val="32"/>
        </w:rPr>
        <w:t>负债</w:t>
      </w:r>
      <w:r>
        <w:rPr>
          <w:rFonts w:ascii="Times New Roman" w:hAnsi="Times New Roman" w:eastAsia="仿宋_GB2312" w:cs="Times New Roman"/>
          <w:kern w:val="0"/>
          <w:sz w:val="32"/>
          <w:szCs w:val="32"/>
        </w:rPr>
        <w:t>”科目。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3）“专用基金”科目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新制度设置了“专用基金”科目，该科目的核算内容与原账“专用基金”</w:t>
      </w:r>
      <w:r>
        <w:rPr>
          <w:rFonts w:ascii="Times New Roman" w:hAnsi="Times New Roman" w:eastAsia="仿宋_GB2312" w:cs="Times New Roman"/>
          <w:kern w:val="0"/>
          <w:sz w:val="32"/>
          <w:szCs w:val="32"/>
        </w:rPr>
        <w:t>科目的核算内容基本相同。转账时，高等学校应当将原账的</w:t>
      </w:r>
      <w:r>
        <w:rPr>
          <w:rFonts w:ascii="Times New Roman" w:hAnsi="Times New Roman" w:eastAsia="仿宋_GB2312" w:cs="Times New Roman"/>
          <w:sz w:val="32"/>
          <w:szCs w:val="32"/>
        </w:rPr>
        <w:t>“专用基金”</w:t>
      </w:r>
      <w:r>
        <w:rPr>
          <w:rFonts w:ascii="Times New Roman" w:hAnsi="Times New Roman" w:eastAsia="仿宋_GB2312" w:cs="Times New Roman"/>
          <w:kern w:val="0"/>
          <w:sz w:val="32"/>
          <w:szCs w:val="32"/>
        </w:rPr>
        <w:t>科目余额转入新账的“专用基金”科目。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（4）“财政补助结转”、“财政补助结余”、“非财政补助结转”科目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新制度设置了“累计盈余”科目，该科目的余额包含了原账的“财政补助结转”、“财政补助结余”、“非财政补助结转”科目</w:t>
      </w:r>
      <w:r>
        <w:rPr>
          <w:rFonts w:ascii="Times New Roman" w:hAnsi="Times New Roman" w:eastAsia="仿宋_GB2312" w:cs="Times New Roman"/>
          <w:kern w:val="0"/>
          <w:sz w:val="32"/>
          <w:szCs w:val="32"/>
        </w:rPr>
        <w:t>的余额内容。转账时，高等学校应当将原账的</w:t>
      </w:r>
      <w:r>
        <w:rPr>
          <w:rFonts w:ascii="Times New Roman" w:hAnsi="Times New Roman" w:eastAsia="仿宋_GB2312" w:cs="Times New Roman"/>
          <w:sz w:val="32"/>
          <w:szCs w:val="32"/>
        </w:rPr>
        <w:t>“财政补助结转”、“财政补助结余”、“非财政补助结转”科目</w:t>
      </w:r>
      <w:r>
        <w:rPr>
          <w:rFonts w:ascii="Times New Roman" w:hAnsi="Times New Roman" w:eastAsia="仿宋_GB2312" w:cs="Times New Roman"/>
          <w:kern w:val="0"/>
          <w:sz w:val="32"/>
          <w:szCs w:val="32"/>
        </w:rPr>
        <w:t>余额</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转入新账的“累计盈余”科目。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（5）“经营结余”科目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新制度设置了“本期盈余”科目，该科目的核算内容包含了原账“经营结余”</w:t>
      </w:r>
      <w:r>
        <w:rPr>
          <w:rFonts w:ascii="Times New Roman" w:hAnsi="Times New Roman" w:eastAsia="仿宋_GB2312" w:cs="Times New Roman"/>
          <w:kern w:val="0"/>
          <w:sz w:val="32"/>
          <w:szCs w:val="32"/>
        </w:rPr>
        <w:t>科目的核算内容。新制度规定</w:t>
      </w:r>
      <w:r>
        <w:rPr>
          <w:rFonts w:ascii="Times New Roman" w:hAnsi="Times New Roman" w:eastAsia="仿宋_GB2312" w:cs="Times New Roman"/>
          <w:sz w:val="32"/>
          <w:szCs w:val="32"/>
        </w:rPr>
        <w:t>“本期盈余”科目余额最终转入“累计盈余”科目，</w:t>
      </w:r>
      <w:r>
        <w:rPr>
          <w:rFonts w:ascii="Times New Roman" w:hAnsi="Times New Roman" w:eastAsia="仿宋_GB2312" w:cs="Times New Roman"/>
          <w:kern w:val="0"/>
          <w:sz w:val="32"/>
          <w:szCs w:val="32"/>
        </w:rPr>
        <w:t>如果原账</w:t>
      </w:r>
      <w:r>
        <w:rPr>
          <w:rFonts w:ascii="Times New Roman" w:hAnsi="Times New Roman" w:eastAsia="仿宋_GB2312" w:cs="Times New Roman"/>
          <w:sz w:val="32"/>
          <w:szCs w:val="32"/>
        </w:rPr>
        <w:t>的“经营结余”</w:t>
      </w:r>
      <w:r>
        <w:rPr>
          <w:rFonts w:ascii="Times New Roman" w:hAnsi="Times New Roman" w:eastAsia="仿宋_GB2312" w:cs="Times New Roman"/>
          <w:kern w:val="0"/>
          <w:sz w:val="32"/>
          <w:szCs w:val="32"/>
        </w:rPr>
        <w:t>科目有借方余额，转账时，高等学校应当将原账的</w:t>
      </w:r>
      <w:r>
        <w:rPr>
          <w:rFonts w:ascii="Times New Roman" w:hAnsi="Times New Roman" w:eastAsia="仿宋_GB2312" w:cs="Times New Roman"/>
          <w:sz w:val="32"/>
          <w:szCs w:val="32"/>
        </w:rPr>
        <w:t>“经营结余”</w:t>
      </w:r>
      <w:r>
        <w:rPr>
          <w:rFonts w:ascii="Times New Roman" w:hAnsi="Times New Roman" w:eastAsia="仿宋_GB2312" w:cs="Times New Roman"/>
          <w:kern w:val="0"/>
          <w:sz w:val="32"/>
          <w:szCs w:val="32"/>
        </w:rPr>
        <w:t>科目借方余额转入新账的“累计盈余”科目借方。</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（6）“事业结余”、“非财政补助结余分配”科目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由于原账的“事业结余”、“非财政补助结余分配”科目年末无余额，这两个科目</w:t>
      </w:r>
      <w:r>
        <w:rPr>
          <w:rFonts w:hint="eastAsia" w:ascii="Times New Roman" w:hAnsi="Times New Roman" w:eastAsia="仿宋_GB2312" w:cs="Times New Roman"/>
          <w:sz w:val="32"/>
          <w:szCs w:val="32"/>
        </w:rPr>
        <w:t>无</w:t>
      </w:r>
      <w:r>
        <w:rPr>
          <w:rFonts w:ascii="Times New Roman" w:hAnsi="Times New Roman" w:eastAsia="仿宋_GB2312" w:cs="Times New Roman"/>
          <w:sz w:val="32"/>
          <w:szCs w:val="32"/>
        </w:rPr>
        <w:t>需进行转账处理。</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4.收入类、支出类</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由于原账中收入类、支出类科目年末无余额，</w:t>
      </w:r>
      <w:r>
        <w:rPr>
          <w:rFonts w:hint="eastAsia" w:ascii="Times New Roman" w:hAnsi="Times New Roman" w:eastAsia="仿宋_GB2312" w:cs="Times New Roman"/>
          <w:sz w:val="32"/>
          <w:szCs w:val="32"/>
        </w:rPr>
        <w:t>无</w:t>
      </w:r>
      <w:r>
        <w:rPr>
          <w:rFonts w:ascii="Times New Roman" w:hAnsi="Times New Roman" w:eastAsia="仿宋_GB2312" w:cs="Times New Roman"/>
          <w:sz w:val="32"/>
          <w:szCs w:val="32"/>
        </w:rPr>
        <w:t>需进行转账处理。自2019年1月1日起，</w:t>
      </w:r>
      <w:r>
        <w:rPr>
          <w:rFonts w:hint="eastAsia" w:ascii="Times New Roman" w:hAnsi="Times New Roman" w:eastAsia="仿宋_GB2312" w:cs="Times New Roman"/>
          <w:sz w:val="32"/>
          <w:szCs w:val="32"/>
        </w:rPr>
        <w:t>高等学校</w:t>
      </w:r>
      <w:r>
        <w:rPr>
          <w:rFonts w:ascii="Times New Roman" w:hAnsi="Times New Roman" w:eastAsia="仿宋_GB2312" w:cs="Times New Roman"/>
          <w:sz w:val="32"/>
          <w:szCs w:val="32"/>
        </w:rPr>
        <w:t>应当按照新制度设置收入类、费用类科目并进行账务处理。</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w:t>
      </w:r>
      <w:r>
        <w:rPr>
          <w:rFonts w:hint="eastAsia" w:ascii="Times New Roman" w:hAnsi="Times New Roman" w:eastAsia="仿宋_GB2312" w:cs="Times New Roman"/>
          <w:sz w:val="32"/>
          <w:szCs w:val="32"/>
        </w:rPr>
        <w:t>存在</w:t>
      </w:r>
      <w:r>
        <w:rPr>
          <w:rFonts w:ascii="Times New Roman" w:hAnsi="Times New Roman" w:eastAsia="仿宋_GB2312" w:cs="Times New Roman"/>
          <w:sz w:val="32"/>
          <w:szCs w:val="32"/>
        </w:rPr>
        <w:t>其他本规定未列举的原账科目余额</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，应当比照本规定转入新账的相应科目。新账的科目设有明细科目的，应将原账中对应科目的余额加以分析，分别转入新账中相应科目的相关明细科目。</w:t>
      </w:r>
    </w:p>
    <w:p>
      <w:pPr>
        <w:widowControl/>
        <w:ind w:firstLine="704" w:firstLineChars="22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高等学校在进行新旧衔接的转账时，应当编制转账的工作分录，作为转账的工作底稿，并将转入新账的对应原</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余额及分拆原</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余额的依据</w:t>
      </w:r>
      <w:r>
        <w:rPr>
          <w:rFonts w:hint="eastAsia" w:ascii="Times New Roman" w:hAnsi="Times New Roman" w:eastAsia="仿宋_GB2312" w:cs="Times New Roman"/>
          <w:sz w:val="32"/>
          <w:szCs w:val="32"/>
        </w:rPr>
        <w:t>作为</w:t>
      </w:r>
      <w:r>
        <w:rPr>
          <w:rFonts w:ascii="Times New Roman" w:hAnsi="Times New Roman" w:eastAsia="仿宋_GB2312" w:cs="Times New Roman"/>
          <w:sz w:val="32"/>
          <w:szCs w:val="32"/>
        </w:rPr>
        <w:t>原始凭证。</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（二）将原未入账事项登记新账财务会计科目</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1.</w:t>
      </w:r>
      <w:r>
        <w:rPr>
          <w:rFonts w:ascii="Times New Roman" w:hAnsi="Times New Roman" w:eastAsia="仿宋_GB2312" w:cs="Times New Roman"/>
          <w:kern w:val="0"/>
          <w:sz w:val="32"/>
          <w:szCs w:val="32"/>
        </w:rPr>
        <w:t>应收股利</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在新旧制度转换时，应当将2018年12月31日前未入账的应收股利按照新制度规定记入新账。登记新账时，按照确定的应收股利金额，借记“应收股利”科目，贷记“累计盈余”科目。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2.研发支出</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在新旧制度转换时，应当将2018年12月31日前未入账的自行研究开发项目开发阶段的费用按照新制度规定记入新账。登记新账时，按照确定的开发阶段费用金额，借记“研发支出”科目，贷记“累计盈余”科目。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3.受托代理资产</w:t>
      </w:r>
    </w:p>
    <w:p>
      <w:pPr>
        <w:ind w:firstLine="704" w:firstLineChars="22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在新旧制度转换时，应当将2018年12月31日前未入账的受托代理</w:t>
      </w:r>
      <w:r>
        <w:rPr>
          <w:rFonts w:hint="eastAsia" w:ascii="Times New Roman" w:hAnsi="Times New Roman" w:eastAsia="仿宋_GB2312" w:cs="Times New Roman"/>
          <w:kern w:val="0"/>
          <w:sz w:val="32"/>
          <w:szCs w:val="32"/>
        </w:rPr>
        <w:t>资产</w:t>
      </w:r>
      <w:r>
        <w:rPr>
          <w:rFonts w:ascii="Times New Roman" w:hAnsi="Times New Roman" w:eastAsia="仿宋_GB2312" w:cs="Times New Roman"/>
          <w:kern w:val="0"/>
          <w:sz w:val="32"/>
          <w:szCs w:val="32"/>
        </w:rPr>
        <w:t>按照新制度规定记入新账。登记新账时，按照确定的受托代理</w:t>
      </w:r>
      <w:r>
        <w:rPr>
          <w:rFonts w:hint="eastAsia" w:ascii="Times New Roman" w:hAnsi="Times New Roman" w:eastAsia="仿宋_GB2312" w:cs="Times New Roman"/>
          <w:kern w:val="0"/>
          <w:sz w:val="32"/>
          <w:szCs w:val="32"/>
        </w:rPr>
        <w:t>资产</w:t>
      </w:r>
      <w:r>
        <w:rPr>
          <w:rFonts w:ascii="Times New Roman" w:hAnsi="Times New Roman" w:eastAsia="仿宋_GB2312" w:cs="Times New Roman"/>
          <w:kern w:val="0"/>
          <w:sz w:val="32"/>
          <w:szCs w:val="32"/>
        </w:rPr>
        <w:t>金额，借记“受托代理资产”科目，贷记“受托代理负债”科目。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4.盘盈资产</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高等学校在新旧制度转换时，应当将2018年12月31日前未入账的盘盈资产按照新制度规定记入新账。登记新账时，按照确定的盘盈资产及其</w:t>
      </w:r>
      <w:r>
        <w:rPr>
          <w:rFonts w:hint="eastAsia" w:ascii="Times New Roman" w:hAnsi="Times New Roman" w:eastAsia="仿宋_GB2312" w:cs="Times New Roman"/>
          <w:kern w:val="0"/>
          <w:sz w:val="32"/>
          <w:szCs w:val="32"/>
        </w:rPr>
        <w:t>成本</w:t>
      </w:r>
      <w:r>
        <w:rPr>
          <w:rFonts w:ascii="Times New Roman" w:hAnsi="Times New Roman" w:eastAsia="仿宋_GB2312" w:cs="Times New Roman"/>
          <w:kern w:val="0"/>
          <w:sz w:val="32"/>
          <w:szCs w:val="32"/>
        </w:rPr>
        <w:t>，借记有关资产科目，</w:t>
      </w:r>
      <w:r>
        <w:rPr>
          <w:rFonts w:hint="eastAsia" w:ascii="Times New Roman" w:hAnsi="Times New Roman" w:eastAsia="仿宋_GB2312" w:cs="Times New Roman"/>
          <w:kern w:val="0"/>
          <w:sz w:val="32"/>
          <w:szCs w:val="32"/>
        </w:rPr>
        <w:t>按照盘盈资产成本的合计金额，</w:t>
      </w:r>
      <w:r>
        <w:rPr>
          <w:rFonts w:ascii="Times New Roman" w:hAnsi="Times New Roman" w:eastAsia="仿宋_GB2312" w:cs="Times New Roman"/>
          <w:kern w:val="0"/>
          <w:sz w:val="32"/>
          <w:szCs w:val="32"/>
        </w:rPr>
        <w:t>贷记“累计盈余”科目。</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5.应付质量保证金</w:t>
      </w:r>
    </w:p>
    <w:p>
      <w:pPr>
        <w:autoSpaceDE w:val="0"/>
        <w:autoSpaceDN w:val="0"/>
        <w:adjustRightInd w:val="0"/>
        <w:ind w:firstLine="704" w:firstLineChars="22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在新旧制度转换时，应当将2018年12月31日前未入账</w:t>
      </w:r>
      <w:r>
        <w:rPr>
          <w:rFonts w:ascii="Times New Roman" w:hAnsi="Times New Roman" w:eastAsia="仿宋_GB2312" w:cs="Times New Roman"/>
          <w:sz w:val="32"/>
          <w:szCs w:val="32"/>
        </w:rPr>
        <w:t>的应付质量保证金</w:t>
      </w:r>
      <w:r>
        <w:rPr>
          <w:rFonts w:ascii="Times New Roman" w:hAnsi="Times New Roman" w:eastAsia="仿宋_GB2312" w:cs="Times New Roman"/>
          <w:kern w:val="0"/>
          <w:sz w:val="32"/>
          <w:szCs w:val="32"/>
        </w:rPr>
        <w:t>按照新制度规定记入新账。登记新账时</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按照确定未入账的应付质量保证金金额，</w:t>
      </w:r>
      <w:r>
        <w:rPr>
          <w:rFonts w:ascii="Times New Roman" w:hAnsi="Times New Roman" w:eastAsia="仿宋_GB2312" w:cs="Times New Roman"/>
          <w:sz w:val="32"/>
          <w:szCs w:val="32"/>
        </w:rPr>
        <w:t>借记“</w:t>
      </w:r>
      <w:r>
        <w:rPr>
          <w:rFonts w:ascii="Times New Roman" w:hAnsi="Times New Roman" w:eastAsia="仿宋_GB2312" w:cs="Times New Roman"/>
          <w:kern w:val="0"/>
          <w:sz w:val="32"/>
          <w:szCs w:val="32"/>
        </w:rPr>
        <w:t>累计盈余</w:t>
      </w:r>
      <w:r>
        <w:rPr>
          <w:rFonts w:ascii="Times New Roman" w:hAnsi="Times New Roman" w:eastAsia="仿宋_GB2312" w:cs="Times New Roman"/>
          <w:sz w:val="32"/>
          <w:szCs w:val="32"/>
        </w:rPr>
        <w:t>”科目，贷记“其他应付款”</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[扣留期在1年以内（含1年）]、“长期应付款”</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[扣留期超过1年]。</w:t>
      </w:r>
    </w:p>
    <w:p>
      <w:pPr>
        <w:autoSpaceDE w:val="0"/>
        <w:autoSpaceDN w:val="0"/>
        <w:adjustRightInd w:val="0"/>
        <w:ind w:firstLine="704" w:firstLineChars="220"/>
        <w:jc w:val="left"/>
        <w:rPr>
          <w:rFonts w:ascii="Times New Roman" w:hAnsi="Times New Roman" w:eastAsia="仿宋_GB2312" w:cs="Times New Roman"/>
          <w:sz w:val="32"/>
          <w:szCs w:val="32"/>
        </w:rPr>
      </w:pPr>
      <w:r>
        <w:rPr>
          <w:rFonts w:ascii="Times New Roman" w:hAnsi="Times New Roman" w:eastAsia="仿宋_GB2312" w:cs="Times New Roman"/>
          <w:kern w:val="0"/>
          <w:sz w:val="32"/>
          <w:szCs w:val="32"/>
        </w:rPr>
        <w:t>6.</w:t>
      </w:r>
      <w:r>
        <w:rPr>
          <w:rFonts w:ascii="Times New Roman" w:hAnsi="Times New Roman" w:eastAsia="仿宋_GB2312" w:cs="Times New Roman"/>
          <w:sz w:val="32"/>
          <w:szCs w:val="32"/>
        </w:rPr>
        <w:t>预计负债</w:t>
      </w:r>
    </w:p>
    <w:p>
      <w:pPr>
        <w:autoSpaceDE w:val="0"/>
        <w:autoSpaceDN w:val="0"/>
        <w:adjustRightInd w:val="0"/>
        <w:ind w:firstLine="704" w:firstLineChars="220"/>
        <w:jc w:val="left"/>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在新旧制度转换时，应当将2018年12月31日</w:t>
      </w:r>
      <w:r>
        <w:rPr>
          <w:rFonts w:hint="eastAsia" w:ascii="Times New Roman" w:hAnsi="Times New Roman" w:eastAsia="仿宋_GB2312" w:cs="Times New Roman"/>
          <w:kern w:val="0"/>
          <w:sz w:val="32"/>
          <w:szCs w:val="32"/>
        </w:rPr>
        <w:t>按照新制度规定确认</w:t>
      </w:r>
      <w:r>
        <w:rPr>
          <w:rFonts w:ascii="Times New Roman" w:hAnsi="Times New Roman" w:eastAsia="仿宋_GB2312" w:cs="Times New Roman"/>
          <w:kern w:val="0"/>
          <w:sz w:val="32"/>
          <w:szCs w:val="32"/>
        </w:rPr>
        <w:t>的预计负债记入新账。登记新账时，按照确定的预计负债金额，借记“累计盈余”科目，贷记“预计负债”科目。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w:t>
      </w:r>
      <w:r>
        <w:rPr>
          <w:rFonts w:hint="eastAsia" w:ascii="Times New Roman" w:hAnsi="Times New Roman" w:eastAsia="仿宋_GB2312" w:cs="Times New Roman"/>
          <w:sz w:val="32"/>
          <w:szCs w:val="32"/>
        </w:rPr>
        <w:t>存在</w:t>
      </w:r>
      <w:r>
        <w:rPr>
          <w:rFonts w:ascii="Times New Roman" w:hAnsi="Times New Roman" w:eastAsia="仿宋_GB2312" w:cs="Times New Roman"/>
          <w:sz w:val="32"/>
          <w:szCs w:val="32"/>
        </w:rPr>
        <w:t>2018年12月31日前未入账的其他事项，应当比照本规定登记新账的相应科目。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高等学校对新账的财务会计</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补记未入账事项时，应当编制记账凭证，并将补充登记事项的确认依据</w:t>
      </w:r>
      <w:r>
        <w:rPr>
          <w:rFonts w:hint="eastAsia" w:ascii="Times New Roman" w:hAnsi="Times New Roman" w:eastAsia="仿宋_GB2312" w:cs="Times New Roman"/>
          <w:sz w:val="32"/>
          <w:szCs w:val="32"/>
        </w:rPr>
        <w:t>作为</w:t>
      </w:r>
      <w:r>
        <w:rPr>
          <w:rFonts w:ascii="Times New Roman" w:hAnsi="Times New Roman" w:eastAsia="仿宋_GB2312" w:cs="Times New Roman"/>
          <w:sz w:val="32"/>
          <w:szCs w:val="32"/>
        </w:rPr>
        <w:t>原始凭证。</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（三）对新账的相关财务会计科目余额按照新制度</w:t>
      </w:r>
      <w:r>
        <w:rPr>
          <w:rFonts w:hint="eastAsia" w:ascii="Times New Roman" w:hAnsi="Times New Roman" w:eastAsia="仿宋_GB2312" w:cs="Times New Roman"/>
          <w:sz w:val="32"/>
          <w:szCs w:val="32"/>
        </w:rPr>
        <w:t>规定的</w:t>
      </w:r>
      <w:r>
        <w:rPr>
          <w:rFonts w:ascii="Times New Roman" w:hAnsi="Times New Roman" w:eastAsia="仿宋_GB2312" w:cs="Times New Roman"/>
          <w:sz w:val="32"/>
          <w:szCs w:val="32"/>
        </w:rPr>
        <w:t>会计核算基础进行调整</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1.计提坏账准备</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制度要求对单位收回后无需上缴财政的应收账款和其他应收款提取坏账准备。在新旧制度转换时，高等学校应当按照2018年12月31日无需上缴财政的应收账款和其他应收款的余额计算应计提的坏账准备金额，借记“累计盈余”科目，贷记“坏账准备”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2.按照权益法调整长期股权投资账面余额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按照新制度规定应当采用权益法核算的长期股权投资，在新旧制度转换时，单位应当在“长期股权投资”科目下设置“新旧制度转换调整”明细科目，依据被投资单位2018年12月31日财务报表的所有者权益账面余额，以及单位持有被投资单位的股权比例，计算应享有或应分担的被投资单位所有者权益的份额，调整长期股权投资的账面余额，借记或贷记“长期股权投资——新旧制度转换调整”科目，贷记或借记“累计盈余”科目。</w:t>
      </w:r>
    </w:p>
    <w:p>
      <w:pPr>
        <w:ind w:firstLine="640" w:firstLineChars="200"/>
        <w:rPr>
          <w:rFonts w:ascii="Times New Roman" w:hAnsi="Times New Roman" w:eastAsia="仿宋_GB2312" w:cs="Times New Roman"/>
          <w:sz w:val="32"/>
          <w:szCs w:val="32"/>
        </w:rPr>
      </w:pPr>
      <w:r>
        <w:rPr>
          <w:rFonts w:ascii="Times New Roman" w:eastAsia="仿宋_GB2312" w:cs="Times New Roman"/>
          <w:sz w:val="32"/>
          <w:szCs w:val="32"/>
        </w:rPr>
        <w:t>高等学校对已经持有，且处于停产、半停产、连年亏损、资不抵债</w:t>
      </w:r>
      <w:r>
        <w:rPr>
          <w:rFonts w:hint="eastAsia" w:ascii="Times New Roman" w:eastAsia="仿宋_GB2312" w:cs="Times New Roman"/>
          <w:sz w:val="32"/>
          <w:szCs w:val="32"/>
        </w:rPr>
        <w:t>、</w:t>
      </w:r>
      <w:r>
        <w:rPr>
          <w:rFonts w:ascii="Times New Roman" w:eastAsia="仿宋_GB2312" w:cs="Times New Roman"/>
          <w:sz w:val="32"/>
          <w:szCs w:val="32"/>
        </w:rPr>
        <w:t>主要靠政府补贴和学校续贷维持经营的被投资单位的投资，</w:t>
      </w:r>
      <w:r>
        <w:rPr>
          <w:rFonts w:hint="eastAsia" w:ascii="Times New Roman" w:eastAsia="仿宋_GB2312" w:cs="Times New Roman"/>
          <w:sz w:val="32"/>
          <w:szCs w:val="32"/>
        </w:rPr>
        <w:t>在新旧制度转换时</w:t>
      </w:r>
      <w:r>
        <w:rPr>
          <w:rFonts w:ascii="Times New Roman" w:eastAsia="仿宋_GB2312" w:cs="Times New Roman"/>
          <w:sz w:val="32"/>
          <w:szCs w:val="32"/>
        </w:rPr>
        <w:t>可</w:t>
      </w:r>
      <w:r>
        <w:rPr>
          <w:rFonts w:hint="eastAsia" w:ascii="Times New Roman" w:eastAsia="仿宋_GB2312" w:cs="Times New Roman"/>
          <w:sz w:val="32"/>
          <w:szCs w:val="32"/>
        </w:rPr>
        <w:t>继续</w:t>
      </w:r>
      <w:r>
        <w:rPr>
          <w:rFonts w:ascii="Times New Roman" w:eastAsia="仿宋_GB2312" w:cs="Times New Roman"/>
          <w:sz w:val="32"/>
          <w:szCs w:val="32"/>
        </w:rPr>
        <w:t>采用成本法进行核算。</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3.确认长期债券投资期末应收利息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按照新制度规定于2019年1月1日补记长期债券投资应收利息，按照长期债券投资的应收利息金额，借记“长期债券投资”科目［到期一次还本付息］或“应收利息”科目［分期付息、到期还本］，贷记“累计盈余”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4.补提折旧</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高等学校在原账中尚未计提固定资产折旧的，应当全面核查截至2018年12月31日的固定资产的预计使用年限、已使用年限、尚可使用年限等，并于</w:t>
      </w:r>
      <w:r>
        <w:rPr>
          <w:rFonts w:ascii="Times New Roman" w:hAnsi="Times New Roman" w:eastAsia="仿宋_GB2312" w:cs="Times New Roman"/>
          <w:sz w:val="32"/>
          <w:szCs w:val="32"/>
        </w:rPr>
        <w:t>2019年1月1日对尚未计提折旧的固定资产补提折旧，按照应计提的折旧金额，借记“累计盈余”科目，贷记“固定资产累计折旧”科目。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5.补提摊销</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高等学校在原账中尚未计提无形资产摊销的，应当全面核查截至2018年12月31日无形资产的预计使用年限、已使用年限、尚可使用年限等，并于</w:t>
      </w:r>
      <w:r>
        <w:rPr>
          <w:rFonts w:ascii="Times New Roman" w:hAnsi="Times New Roman" w:eastAsia="仿宋_GB2312" w:cs="Times New Roman"/>
          <w:sz w:val="32"/>
          <w:szCs w:val="32"/>
        </w:rPr>
        <w:t>2019年1月1日对前期尚未计提摊销的无形资产补提摊销，按照应计提的摊销金额，借记“累计盈余”科目，贷记“无形资产累计摊销”科目。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6.确认长期借款期末应付利息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按照新制度规定于2019年1月1日补记长期借款的应付利息金额，对其中资本化的部分，借记“在建工程”科目，对其中费用化的部分，借记“累计盈余”科目，按照全部长期借款应付利息金额，贷记“长期借款”科目［到期一次还本付息］或“应付利息”科目［分期付息、到期还本］。</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高等学校对新账的财务会计</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期初余额进行调整时，应当编制记账凭证，并将调整事项的确认依据</w:t>
      </w:r>
      <w:r>
        <w:rPr>
          <w:rFonts w:hint="eastAsia" w:ascii="Times New Roman" w:hAnsi="Times New Roman" w:eastAsia="仿宋_GB2312" w:cs="Times New Roman"/>
          <w:sz w:val="32"/>
          <w:szCs w:val="32"/>
        </w:rPr>
        <w:t>作为</w:t>
      </w:r>
      <w:r>
        <w:rPr>
          <w:rFonts w:ascii="Times New Roman" w:hAnsi="Times New Roman" w:eastAsia="仿宋_GB2312" w:cs="Times New Roman"/>
          <w:sz w:val="32"/>
          <w:szCs w:val="32"/>
        </w:rPr>
        <w:t>原始凭证。</w:t>
      </w:r>
    </w:p>
    <w:p>
      <w:pPr>
        <w:ind w:firstLine="704" w:firstLineChars="220"/>
        <w:rPr>
          <w:rFonts w:ascii="黑体" w:hAnsi="黑体" w:eastAsia="黑体" w:cs="Times New Roman"/>
          <w:bCs/>
          <w:sz w:val="32"/>
          <w:szCs w:val="32"/>
        </w:rPr>
      </w:pPr>
      <w:r>
        <w:rPr>
          <w:rFonts w:ascii="黑体" w:hAnsi="黑体" w:eastAsia="黑体" w:cs="Times New Roman"/>
          <w:bCs/>
          <w:sz w:val="32"/>
          <w:szCs w:val="32"/>
        </w:rPr>
        <w:t>三、预算会计</w:t>
      </w:r>
      <w:r>
        <w:rPr>
          <w:rFonts w:hint="eastAsia" w:ascii="黑体" w:hAnsi="黑体" w:eastAsia="黑体" w:cs="Times New Roman"/>
          <w:bCs/>
          <w:sz w:val="32"/>
          <w:szCs w:val="32"/>
        </w:rPr>
        <w:t>科目</w:t>
      </w:r>
      <w:r>
        <w:rPr>
          <w:rFonts w:ascii="黑体" w:hAnsi="黑体" w:eastAsia="黑体" w:cs="Times New Roman"/>
          <w:bCs/>
          <w:sz w:val="32"/>
          <w:szCs w:val="32"/>
        </w:rPr>
        <w:t>的新旧衔接</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（一）“财政拨款结转”和“财政拨款结余”科目及对应的“资金结存”科目余额</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新制度设置了“财政拨款结转”、“财政拨款结余”科目及对应的“资金结存”科目。在新旧制度转换时，高等学校应当对原账的“财政补助结转”</w:t>
      </w:r>
      <w:r>
        <w:rPr>
          <w:rFonts w:hint="eastAsia" w:ascii="Times New Roman" w:hAnsi="Times New Roman" w:eastAsia="仿宋_GB2312" w:cs="Times New Roman"/>
          <w:sz w:val="32"/>
          <w:szCs w:val="32"/>
        </w:rPr>
        <w:t>科目及对应</w:t>
      </w:r>
      <w:r>
        <w:rPr>
          <w:rFonts w:ascii="Times New Roman" w:hAnsi="Times New Roman" w:eastAsia="仿宋_GB2312" w:cs="Times New Roman"/>
          <w:sz w:val="32"/>
          <w:szCs w:val="32"/>
        </w:rPr>
        <w:t>科目余额进行逐项分析，加上已经</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入支出尚未支付财政资金（如发生时列支的</w:t>
      </w:r>
      <w:r>
        <w:rPr>
          <w:rFonts w:hint="eastAsia" w:ascii="Times New Roman" w:hAnsi="Times New Roman" w:eastAsia="仿宋_GB2312" w:cs="Times New Roman"/>
          <w:sz w:val="32"/>
          <w:szCs w:val="32"/>
        </w:rPr>
        <w:t>应付票据、</w:t>
      </w:r>
      <w:r>
        <w:rPr>
          <w:rFonts w:ascii="Times New Roman" w:hAnsi="Times New Roman" w:eastAsia="仿宋_GB2312" w:cs="Times New Roman"/>
          <w:sz w:val="32"/>
          <w:szCs w:val="32"/>
        </w:rPr>
        <w:t>应付账款</w:t>
      </w:r>
      <w:r>
        <w:rPr>
          <w:rFonts w:hint="eastAsia" w:ascii="Times New Roman" w:hAnsi="Times New Roman" w:eastAsia="仿宋_GB2312" w:cs="Times New Roman"/>
          <w:sz w:val="32"/>
          <w:szCs w:val="32"/>
        </w:rPr>
        <w:t>、应缴税费、应付职工薪酬等</w:t>
      </w:r>
      <w:r>
        <w:rPr>
          <w:rFonts w:ascii="Times New Roman" w:hAnsi="Times New Roman" w:eastAsia="仿宋_GB2312" w:cs="Times New Roman"/>
          <w:sz w:val="32"/>
          <w:szCs w:val="32"/>
        </w:rPr>
        <w:t>）的金额，减去已经支付财政资金尚未</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入支出（如购入的存货、预付账款</w:t>
      </w:r>
      <w:r>
        <w:rPr>
          <w:rFonts w:hint="eastAsia" w:ascii="Times New Roman" w:hAnsi="Times New Roman" w:eastAsia="仿宋_GB2312" w:cs="Times New Roman"/>
          <w:sz w:val="32"/>
          <w:szCs w:val="32"/>
        </w:rPr>
        <w:t>、其他应收款</w:t>
      </w:r>
      <w:r>
        <w:rPr>
          <w:rFonts w:ascii="Times New Roman" w:hAnsi="Times New Roman" w:eastAsia="仿宋_GB2312" w:cs="Times New Roman"/>
          <w:sz w:val="32"/>
          <w:szCs w:val="32"/>
        </w:rPr>
        <w:t>等）的金额，按照增减后的金额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登记新账的“财政拨款结转”科目及其明细科目贷方；按照原账“财政补助结余”科目余额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登记新账的“财政拨款结余”科目及其明细科目贷方。</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按照原账“财政应返还额度”科目余额登记新账</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财政应返还额度”科目借方。按照新账</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“财政拨款结转”和“财政拨款结余”科目贷方余额</w:t>
      </w:r>
      <w:r>
        <w:rPr>
          <w:rFonts w:hint="eastAsia" w:ascii="Times New Roman" w:hAnsi="Times New Roman" w:eastAsia="仿宋_GB2312" w:cs="Times New Roman"/>
          <w:sz w:val="32"/>
          <w:szCs w:val="32"/>
        </w:rPr>
        <w:t>合计数，</w:t>
      </w:r>
      <w:r>
        <w:rPr>
          <w:rFonts w:ascii="Times New Roman" w:hAnsi="Times New Roman" w:eastAsia="仿宋_GB2312" w:cs="Times New Roman"/>
          <w:sz w:val="32"/>
          <w:szCs w:val="32"/>
        </w:rPr>
        <w:t>减去新账</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财政应返还额度”科目借方余额后的差额，登记新账</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货币资金”科目借方。</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（二）“非财政拨款结转”科目及对应的“资金结存”科目余额</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新制度设置了“非财政拨款结转”科目及对应的“资金结存”科目。在新旧制度转换时，高等学校应当对原账的“非财政补助结转”</w:t>
      </w:r>
      <w:r>
        <w:rPr>
          <w:rFonts w:hint="eastAsia" w:ascii="Times New Roman" w:hAnsi="Times New Roman" w:eastAsia="仿宋_GB2312" w:cs="Times New Roman"/>
          <w:sz w:val="32"/>
          <w:szCs w:val="32"/>
        </w:rPr>
        <w:t>及对应</w:t>
      </w:r>
      <w:r>
        <w:rPr>
          <w:rFonts w:ascii="Times New Roman" w:hAnsi="Times New Roman" w:eastAsia="仿宋_GB2312" w:cs="Times New Roman"/>
          <w:sz w:val="32"/>
          <w:szCs w:val="32"/>
        </w:rPr>
        <w:t>科目余额进行逐项分析，加上已经</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入支出尚未支付非财政补助专项资金（如发生时列支的</w:t>
      </w:r>
      <w:r>
        <w:rPr>
          <w:rFonts w:hint="eastAsia" w:ascii="Times New Roman" w:hAnsi="Times New Roman" w:eastAsia="仿宋_GB2312" w:cs="Times New Roman"/>
          <w:sz w:val="32"/>
          <w:szCs w:val="32"/>
        </w:rPr>
        <w:t>应付票据、</w:t>
      </w:r>
      <w:r>
        <w:rPr>
          <w:rFonts w:ascii="Times New Roman" w:hAnsi="Times New Roman" w:eastAsia="仿宋_GB2312" w:cs="Times New Roman"/>
          <w:sz w:val="32"/>
          <w:szCs w:val="32"/>
        </w:rPr>
        <w:t>应付账款</w:t>
      </w:r>
      <w:r>
        <w:rPr>
          <w:rFonts w:hint="eastAsia" w:ascii="Times New Roman" w:hAnsi="Times New Roman" w:eastAsia="仿宋_GB2312" w:cs="Times New Roman"/>
          <w:sz w:val="32"/>
          <w:szCs w:val="32"/>
        </w:rPr>
        <w:t>、应缴税费、应付职工薪酬等</w:t>
      </w:r>
      <w:r>
        <w:rPr>
          <w:rFonts w:ascii="Times New Roman" w:hAnsi="Times New Roman" w:eastAsia="仿宋_GB2312" w:cs="Times New Roman"/>
          <w:sz w:val="32"/>
          <w:szCs w:val="32"/>
        </w:rPr>
        <w:t>）的金额，减去已经支付非财政补助专项资金尚未</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入支出（如购入的存货、预付账款等）的金额，加上已经收到非财政补助专项资金尚未</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w:t>
      </w:r>
      <w:r>
        <w:rPr>
          <w:rFonts w:hint="eastAsia" w:ascii="Times New Roman" w:hAnsi="Times New Roman" w:eastAsia="仿宋_GB2312" w:cs="Times New Roman"/>
          <w:sz w:val="32"/>
          <w:szCs w:val="32"/>
        </w:rPr>
        <w:t>预算</w:t>
      </w:r>
      <w:r>
        <w:rPr>
          <w:rFonts w:ascii="Times New Roman" w:hAnsi="Times New Roman" w:eastAsia="仿宋_GB2312" w:cs="Times New Roman"/>
          <w:sz w:val="32"/>
          <w:szCs w:val="32"/>
        </w:rPr>
        <w:t>收入（如预收账款</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）的金额，减去已经</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w:t>
      </w:r>
      <w:r>
        <w:rPr>
          <w:rFonts w:hint="eastAsia" w:ascii="Times New Roman" w:hAnsi="Times New Roman" w:eastAsia="仿宋_GB2312" w:cs="Times New Roman"/>
          <w:sz w:val="32"/>
          <w:szCs w:val="32"/>
        </w:rPr>
        <w:t>预算</w:t>
      </w:r>
      <w:r>
        <w:rPr>
          <w:rFonts w:ascii="Times New Roman" w:hAnsi="Times New Roman" w:eastAsia="仿宋_GB2312" w:cs="Times New Roman"/>
          <w:sz w:val="32"/>
          <w:szCs w:val="32"/>
        </w:rPr>
        <w:t>收入尚未收到非财政补助专项资金（如</w:t>
      </w:r>
      <w:r>
        <w:rPr>
          <w:rFonts w:hint="eastAsia" w:ascii="Times New Roman" w:hAnsi="Times New Roman" w:eastAsia="仿宋_GB2312" w:cs="Times New Roman"/>
          <w:sz w:val="32"/>
          <w:szCs w:val="32"/>
        </w:rPr>
        <w:t>应收票据、</w:t>
      </w:r>
      <w:r>
        <w:rPr>
          <w:rFonts w:ascii="Times New Roman" w:hAnsi="Times New Roman" w:eastAsia="仿宋_GB2312" w:cs="Times New Roman"/>
          <w:sz w:val="32"/>
          <w:szCs w:val="32"/>
        </w:rPr>
        <w:t>应收账款</w:t>
      </w:r>
      <w:r>
        <w:rPr>
          <w:rFonts w:hint="eastAsia" w:ascii="Times New Roman" w:hAnsi="Times New Roman" w:eastAsia="仿宋_GB2312" w:cs="Times New Roman"/>
          <w:sz w:val="32"/>
          <w:szCs w:val="32"/>
        </w:rPr>
        <w:t>、其他应收款等</w:t>
      </w:r>
      <w:r>
        <w:rPr>
          <w:rFonts w:ascii="Times New Roman" w:hAnsi="Times New Roman" w:eastAsia="仿宋_GB2312" w:cs="Times New Roman"/>
          <w:sz w:val="32"/>
          <w:szCs w:val="32"/>
        </w:rPr>
        <w:t>）的金额，按照增减后的金额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登记新账的“非财政拨款结转”科目及其明细科目贷方；同时，按照相同的金额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登记新账“资金结存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货币资金”科目的借方。</w:t>
      </w:r>
    </w:p>
    <w:p>
      <w:pPr>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）“专用结余”科目及对应的“资金结存”科目余额</w:t>
      </w:r>
    </w:p>
    <w:p>
      <w:pPr>
        <w:ind w:firstLine="564"/>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新制度设置了“专用</w:t>
      </w:r>
      <w:r>
        <w:rPr>
          <w:rFonts w:hint="eastAsia" w:ascii="Times New Roman" w:hAnsi="Times New Roman" w:eastAsia="仿宋_GB2312" w:cs="Times New Roman"/>
          <w:sz w:val="32"/>
          <w:szCs w:val="32"/>
        </w:rPr>
        <w:t>结余</w:t>
      </w:r>
      <w:r>
        <w:rPr>
          <w:rFonts w:ascii="Times New Roman" w:hAnsi="Times New Roman" w:eastAsia="仿宋_GB2312" w:cs="Times New Roman"/>
          <w:sz w:val="32"/>
          <w:szCs w:val="32"/>
        </w:rPr>
        <w:t>”科目及对应的“资金结存”科目。在新旧制度转换时，高等学校应当按照原账“专用基金”科目余额中通过非财政补助结余分配形成的金额，借记新账的“资金结存——货币资金”科目，贷记新账的“专用结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）“经营结余”</w:t>
      </w:r>
      <w:r>
        <w:rPr>
          <w:rFonts w:hint="eastAsia" w:ascii="Times New Roman" w:hAnsi="Times New Roman" w:eastAsia="仿宋_GB2312" w:cs="Times New Roman"/>
          <w:sz w:val="32"/>
          <w:szCs w:val="32"/>
        </w:rPr>
        <w:t>科目及对应的“资金结存”</w:t>
      </w:r>
      <w:r>
        <w:rPr>
          <w:rFonts w:ascii="Times New Roman" w:hAnsi="Times New Roman" w:eastAsia="仿宋_GB2312" w:cs="Times New Roman"/>
          <w:sz w:val="32"/>
          <w:szCs w:val="32"/>
        </w:rPr>
        <w:t>科目</w:t>
      </w:r>
      <w:r>
        <w:rPr>
          <w:rFonts w:hint="eastAsia" w:ascii="Times New Roman" w:hAnsi="Times New Roman" w:eastAsia="仿宋_GB2312" w:cs="Times New Roman"/>
          <w:sz w:val="32"/>
          <w:szCs w:val="32"/>
        </w:rPr>
        <w:t>余额</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新制度设置了“经营结余”科目。如果原账的“经营结余”</w:t>
      </w:r>
      <w:r>
        <w:rPr>
          <w:rFonts w:ascii="Times New Roman" w:hAnsi="Times New Roman" w:eastAsia="仿宋_GB2312" w:cs="Times New Roman"/>
          <w:kern w:val="0"/>
          <w:sz w:val="32"/>
          <w:szCs w:val="32"/>
        </w:rPr>
        <w:t>科目期末有借方余额，</w:t>
      </w:r>
      <w:r>
        <w:rPr>
          <w:rFonts w:ascii="Times New Roman" w:hAnsi="Times New Roman" w:eastAsia="仿宋_GB2312" w:cs="Times New Roman"/>
          <w:sz w:val="32"/>
          <w:szCs w:val="32"/>
        </w:rPr>
        <w:t>在新旧制度转换时</w:t>
      </w:r>
      <w:r>
        <w:rPr>
          <w:rFonts w:ascii="Times New Roman" w:hAnsi="Times New Roman" w:eastAsia="仿宋_GB2312" w:cs="Times New Roman"/>
          <w:kern w:val="0"/>
          <w:sz w:val="32"/>
          <w:szCs w:val="32"/>
        </w:rPr>
        <w:t>，按照</w:t>
      </w:r>
      <w:r>
        <w:rPr>
          <w:rFonts w:ascii="Times New Roman" w:hAnsi="Times New Roman" w:eastAsia="仿宋_GB2312" w:cs="Times New Roman"/>
          <w:sz w:val="32"/>
          <w:szCs w:val="32"/>
        </w:rPr>
        <w:t>原账的“经营结余”</w:t>
      </w:r>
      <w:r>
        <w:rPr>
          <w:rFonts w:ascii="Times New Roman" w:hAnsi="Times New Roman" w:eastAsia="仿宋_GB2312" w:cs="Times New Roman"/>
          <w:kern w:val="0"/>
          <w:sz w:val="32"/>
          <w:szCs w:val="32"/>
        </w:rPr>
        <w:t>科目余额</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借记新账的“经营结余”科目，贷记新账的“资金结存</w:t>
      </w:r>
      <w:r>
        <w:rPr>
          <w:rFonts w:hint="eastAsia" w:ascii="Times New Roman" w:hAnsi="Times New Roman" w:eastAsia="仿宋_GB2312" w:cs="Times New Roman"/>
          <w:sz w:val="32"/>
          <w:szCs w:val="32"/>
        </w:rPr>
        <w:t>——货币资金</w:t>
      </w:r>
      <w:r>
        <w:rPr>
          <w:rFonts w:ascii="Times New Roman" w:hAnsi="Times New Roman" w:eastAsia="仿宋_GB2312" w:cs="Times New Roman"/>
          <w:sz w:val="32"/>
          <w:szCs w:val="32"/>
        </w:rPr>
        <w:t>”科目。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）“非财政拨款结余”科目及对应的“资金结存”科目余额</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1.登记“非财政拨款结余”科目余额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新制度设置了“非财政拨款结余”科目及对应的“资金结存”科目</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在新旧制度转换时</w:t>
      </w:r>
      <w:r>
        <w:rPr>
          <w:rFonts w:ascii="Times New Roman" w:hAnsi="Times New Roman" w:eastAsia="仿宋_GB2312" w:cs="Times New Roman"/>
          <w:kern w:val="0"/>
          <w:sz w:val="32"/>
          <w:szCs w:val="32"/>
        </w:rPr>
        <w:t>，高等学校应当按照原账</w:t>
      </w:r>
      <w:r>
        <w:rPr>
          <w:rFonts w:ascii="Times New Roman" w:hAnsi="Times New Roman" w:eastAsia="仿宋_GB2312" w:cs="Times New Roman"/>
          <w:sz w:val="32"/>
          <w:szCs w:val="32"/>
        </w:rPr>
        <w:t>的“事业基金”科目余额，借记新账的“资金结存——货币资金”科目，贷记新账的“非财政拨款结余”科目。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2. 对新账“非财政拨款结余”科目及“资金结存”科目余额进行调整</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（1）调整短期投资对非财政拨款结余的影响</w:t>
      </w:r>
    </w:p>
    <w:p>
      <w:pPr>
        <w:ind w:firstLine="704" w:firstLineChars="2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高等学校应当</w:t>
      </w:r>
      <w:r>
        <w:rPr>
          <w:rFonts w:ascii="Times New Roman" w:hAnsi="Times New Roman" w:eastAsia="仿宋_GB2312" w:cs="Times New Roman"/>
          <w:sz w:val="32"/>
          <w:szCs w:val="32"/>
        </w:rPr>
        <w:t>按照原账的“短期投资”科目余额，借记“非财政拨款结余”科目，贷记“资金结存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（2）调整应收票据、应收账款对非财政拨款结余的影响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应收票据”、“应收账款”科目余额进行分析，区分计入专项资金收入的金额和计入非专项资金收入的金额，按照计入非专项资金收入的金额借记“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（3）调整预付账款对非财政拨款结余的影响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高等学校应当对原账的“预付账款”科目余额进行分析，区分其中由财政补助资金预付的金额、非财政补助专项资金预付的金额</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非财政补助非专项资金预付的金额，按照非财政补助非专项资金预付的金额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借记“非财政拨款结余”科目，贷记“资金结存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（4）调整其他应收款对非财政拨款结余的影响</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高等学校按照新制度规定将原账其他应收款中的预付款项计入支出的，应当对原账的“其他应收款”科目余额进行分析，区分其中预付款项的金额（将来很可能列支）和非预付款项的金额，并对预付款项的金额划分为财政补助资金预付的金额、非财政补助专项资金预付的金额和非财政补助非专项资金预付的金额，按照非财政补助非专项资金预付的金额，借记 “非财政拨款结余”科目，贷记“资金结存——货币资金”科目。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（5）调整存货对非财政拨款结余的影响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存货”科目余额进行分析，区分购入的存货金额和非购入的存货金额。对购入的存货金额划分出其中使用财政补助资金购入的金额、使用非财政补助专项资金购入的金额和使用非财政补助非专项资金购入的金额，按照使用非财政补助非专项资金购入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借记“非财政拨款结余”科目，贷记“资金结存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（6）调整长期股权投资对非财政拨款结余的影响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高等学校应当对原账的“长期投资”科目余额中属于股权投资的余额（不含对非企业法人投资）进行分析，区分其中用现金资产取得的金额和用非现金资产及其他方式取得的金额，按照用现金资产取得的金额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借记 “非财政拨款结余”科目，贷记“资金结存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566" w:firstLineChars="177"/>
        <w:rPr>
          <w:rFonts w:ascii="Times New Roman" w:hAnsi="Times New Roman" w:eastAsia="仿宋_GB2312" w:cs="Times New Roman"/>
          <w:sz w:val="32"/>
          <w:szCs w:val="32"/>
        </w:rPr>
      </w:pPr>
      <w:r>
        <w:rPr>
          <w:rFonts w:ascii="Times New Roman" w:hAnsi="Times New Roman" w:eastAsia="仿宋_GB2312" w:cs="Times New Roman"/>
          <w:sz w:val="32"/>
          <w:szCs w:val="32"/>
        </w:rPr>
        <w:t>按照原制度核算长期投资、而且对应</w:t>
      </w:r>
      <w:r>
        <w:rPr>
          <w:rFonts w:hint="eastAsia" w:ascii="Times New Roman" w:hAnsi="Times New Roman" w:eastAsia="仿宋_GB2312" w:cs="Times New Roman"/>
          <w:sz w:val="32"/>
          <w:szCs w:val="32"/>
        </w:rPr>
        <w:t>科目为</w:t>
      </w:r>
      <w:r>
        <w:rPr>
          <w:rFonts w:ascii="Times New Roman" w:hAnsi="Times New Roman" w:eastAsia="仿宋_GB2312" w:cs="Times New Roman"/>
          <w:sz w:val="32"/>
          <w:szCs w:val="32"/>
        </w:rPr>
        <w:t>“非流动资产基金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长期投资”的，不作此项调整。</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（7）调整长期债券投资对非财政拨款结余的影响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高等学校应当按照原账的“长期投资”科目余额中属于债券投资的余额，借记 “非财政拨款结余”科目，贷记“资金结存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w:t>
      </w:r>
    </w:p>
    <w:p>
      <w:pPr>
        <w:ind w:firstLine="566" w:firstLineChars="177"/>
        <w:rPr>
          <w:rFonts w:ascii="Times New Roman" w:hAnsi="Times New Roman" w:eastAsia="仿宋_GB2312" w:cs="Times New Roman"/>
          <w:sz w:val="32"/>
          <w:szCs w:val="32"/>
        </w:rPr>
      </w:pPr>
      <w:r>
        <w:rPr>
          <w:rFonts w:ascii="Times New Roman" w:hAnsi="Times New Roman" w:eastAsia="仿宋_GB2312" w:cs="Times New Roman"/>
          <w:sz w:val="32"/>
          <w:szCs w:val="32"/>
        </w:rPr>
        <w:t>按照原制度核算长期投资、而且对应</w:t>
      </w:r>
      <w:r>
        <w:rPr>
          <w:rFonts w:hint="eastAsia" w:ascii="Times New Roman" w:hAnsi="Times New Roman" w:eastAsia="仿宋_GB2312" w:cs="Times New Roman"/>
          <w:sz w:val="32"/>
          <w:szCs w:val="32"/>
        </w:rPr>
        <w:t>科目为</w:t>
      </w:r>
      <w:r>
        <w:rPr>
          <w:rFonts w:ascii="Times New Roman" w:hAnsi="Times New Roman" w:eastAsia="仿宋_GB2312" w:cs="Times New Roman"/>
          <w:sz w:val="32"/>
          <w:szCs w:val="32"/>
        </w:rPr>
        <w:t>“非流动资产基金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长期投资”的，不作此项调整。</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（8）调整短期借款、长期借款对非财政拨款结余的影响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高等学校应当按照原账的“短期借款”、“长期借款”科目余额，借记“资金结存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货币资金”科目，贷记“非财政拨款结余”科目。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（9）调整应付票据、应付账款对非财政拨款结余的影响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高等学校应当对原账的“应付票据”、“应付账款”科目余额进行分析，区分财政</w:t>
      </w:r>
      <w:r>
        <w:rPr>
          <w:rFonts w:hint="eastAsia" w:ascii="Times New Roman" w:hAnsi="Times New Roman" w:eastAsia="仿宋_GB2312" w:cs="Times New Roman"/>
          <w:sz w:val="32"/>
          <w:szCs w:val="32"/>
        </w:rPr>
        <w:t>补助</w:t>
      </w:r>
      <w:r>
        <w:rPr>
          <w:rFonts w:ascii="Times New Roman" w:hAnsi="Times New Roman" w:eastAsia="仿宋_GB2312" w:cs="Times New Roman"/>
          <w:sz w:val="32"/>
          <w:szCs w:val="32"/>
        </w:rPr>
        <w:t>应付的金额、非财政</w:t>
      </w:r>
      <w:r>
        <w:rPr>
          <w:rFonts w:hint="eastAsia" w:ascii="Times New Roman" w:hAnsi="Times New Roman" w:eastAsia="仿宋_GB2312" w:cs="Times New Roman"/>
          <w:sz w:val="32"/>
          <w:szCs w:val="32"/>
        </w:rPr>
        <w:t>补助</w:t>
      </w:r>
      <w:r>
        <w:rPr>
          <w:rFonts w:ascii="Times New Roman" w:hAnsi="Times New Roman" w:eastAsia="仿宋_GB2312" w:cs="Times New Roman"/>
          <w:sz w:val="32"/>
          <w:szCs w:val="32"/>
        </w:rPr>
        <w:t>专项资金应付的金额和非财政</w:t>
      </w:r>
      <w:r>
        <w:rPr>
          <w:rFonts w:hint="eastAsia" w:ascii="Times New Roman" w:hAnsi="Times New Roman" w:eastAsia="仿宋_GB2312" w:cs="Times New Roman"/>
          <w:sz w:val="32"/>
          <w:szCs w:val="32"/>
        </w:rPr>
        <w:t>补助</w:t>
      </w:r>
      <w:r>
        <w:rPr>
          <w:rFonts w:ascii="Times New Roman" w:hAnsi="Times New Roman" w:eastAsia="仿宋_GB2312" w:cs="Times New Roman"/>
          <w:sz w:val="32"/>
          <w:szCs w:val="32"/>
        </w:rPr>
        <w:t>非专项资金应付的金额，按照非财政</w:t>
      </w:r>
      <w:r>
        <w:rPr>
          <w:rFonts w:hint="eastAsia" w:ascii="Times New Roman" w:hAnsi="Times New Roman" w:eastAsia="仿宋_GB2312" w:cs="Times New Roman"/>
          <w:sz w:val="32"/>
          <w:szCs w:val="32"/>
        </w:rPr>
        <w:t>补助</w:t>
      </w:r>
      <w:r>
        <w:rPr>
          <w:rFonts w:ascii="Times New Roman" w:hAnsi="Times New Roman" w:eastAsia="仿宋_GB2312" w:cs="Times New Roman"/>
          <w:sz w:val="32"/>
          <w:szCs w:val="32"/>
        </w:rPr>
        <w:t>非专项资金应付的金额借记“资金结存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货币资金”科目，贷记“非财政拨款结余”科目。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（10）调整应</w:t>
      </w:r>
      <w:r>
        <w:rPr>
          <w:rFonts w:hint="eastAsia" w:ascii="Times New Roman" w:hAnsi="Times New Roman" w:eastAsia="仿宋_GB2312" w:cs="Times New Roman"/>
          <w:sz w:val="32"/>
          <w:szCs w:val="32"/>
        </w:rPr>
        <w:t>缴</w:t>
      </w:r>
      <w:r>
        <w:rPr>
          <w:rFonts w:ascii="Times New Roman" w:hAnsi="Times New Roman" w:eastAsia="仿宋_GB2312" w:cs="Times New Roman"/>
          <w:sz w:val="32"/>
          <w:szCs w:val="32"/>
        </w:rPr>
        <w:t>增值税对非财政拨款结余的影响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高等学校应当对原账“应缴税费</w:t>
      </w:r>
      <w:r>
        <w:rPr>
          <w:rFonts w:hint="eastAsia" w:ascii="Times New Roman" w:hAnsi="Times New Roman" w:eastAsia="仿宋_GB2312" w:cs="Times New Roman"/>
          <w:sz w:val="32"/>
          <w:szCs w:val="32"/>
        </w:rPr>
        <w:t>——应缴增值税</w:t>
      </w:r>
      <w:r>
        <w:rPr>
          <w:rFonts w:ascii="Times New Roman" w:hAnsi="Times New Roman" w:eastAsia="仿宋_GB2312" w:cs="Times New Roman"/>
          <w:sz w:val="32"/>
          <w:szCs w:val="32"/>
        </w:rPr>
        <w:t>”科目余额进行分析，划分出与非财政补助专项资金相关的金额和与非财政补助非专项资金相关的金额。按照与非财政补助非专项资金相关的金额，计算应调整非财政拨款结余的金额</w:t>
      </w:r>
      <w:r>
        <w:rPr>
          <w:rFonts w:hint="eastAsia" w:ascii="Times New Roman" w:hAnsi="Times New Roman" w:eastAsia="仿宋_GB2312" w:cs="Times New Roman"/>
          <w:sz w:val="32"/>
          <w:szCs w:val="32"/>
        </w:rPr>
        <w:t>。</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应调整金额如为正数，按照该金额借记“资金结存——货币资金”科目，贷记“非财政</w:t>
      </w:r>
      <w:r>
        <w:rPr>
          <w:rFonts w:hint="eastAsia" w:ascii="Times New Roman" w:hAnsi="Times New Roman" w:eastAsia="仿宋_GB2312" w:cs="Times New Roman"/>
          <w:sz w:val="32"/>
          <w:szCs w:val="32"/>
        </w:rPr>
        <w:t>拨款</w:t>
      </w:r>
      <w:r>
        <w:rPr>
          <w:rFonts w:ascii="Times New Roman" w:hAnsi="Times New Roman" w:eastAsia="仿宋_GB2312" w:cs="Times New Roman"/>
          <w:sz w:val="32"/>
          <w:szCs w:val="32"/>
        </w:rPr>
        <w:t>结余”科目；如为负数，按照该金额借记“非财政</w:t>
      </w:r>
      <w:r>
        <w:rPr>
          <w:rFonts w:hint="eastAsia" w:ascii="Times New Roman" w:hAnsi="Times New Roman" w:eastAsia="仿宋_GB2312" w:cs="Times New Roman"/>
          <w:sz w:val="32"/>
          <w:szCs w:val="32"/>
        </w:rPr>
        <w:t>拨款</w:t>
      </w:r>
      <w:r>
        <w:rPr>
          <w:rFonts w:ascii="Times New Roman" w:hAnsi="Times New Roman" w:eastAsia="仿宋_GB2312" w:cs="Times New Roman"/>
          <w:sz w:val="32"/>
          <w:szCs w:val="32"/>
        </w:rPr>
        <w:t>结余”科目，贷记“资金结存——货币资金”科目。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（11）调整其他应</w:t>
      </w:r>
      <w:r>
        <w:rPr>
          <w:rFonts w:hint="eastAsia" w:ascii="Times New Roman" w:hAnsi="Times New Roman" w:eastAsia="仿宋_GB2312" w:cs="Times New Roman"/>
          <w:sz w:val="32"/>
          <w:szCs w:val="32"/>
        </w:rPr>
        <w:t>缴</w:t>
      </w:r>
      <w:r>
        <w:rPr>
          <w:rFonts w:ascii="Times New Roman" w:hAnsi="Times New Roman" w:eastAsia="仿宋_GB2312" w:cs="Times New Roman"/>
          <w:sz w:val="32"/>
          <w:szCs w:val="32"/>
        </w:rPr>
        <w:t>税费对非财政拨款结余的影响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高等学校应当对原账“应缴税费”</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余额中非增值税的其他应</w:t>
      </w:r>
      <w:r>
        <w:rPr>
          <w:rFonts w:hint="eastAsia" w:ascii="Times New Roman" w:hAnsi="Times New Roman" w:eastAsia="仿宋_GB2312" w:cs="Times New Roman"/>
          <w:sz w:val="32"/>
          <w:szCs w:val="32"/>
        </w:rPr>
        <w:t>缴</w:t>
      </w:r>
      <w:r>
        <w:rPr>
          <w:rFonts w:ascii="Times New Roman" w:hAnsi="Times New Roman" w:eastAsia="仿宋_GB2312" w:cs="Times New Roman"/>
          <w:sz w:val="32"/>
          <w:szCs w:val="32"/>
        </w:rPr>
        <w:t xml:space="preserve">税费金额进行分析，划分出财政补助应交金额、非财政补助专项资金应交金额和非财政补助非专项资金应交金额，按照非财政补助非专项资金应交金额，借记“资金结存——货币资金”科目，贷记“非财政拨款结余”科目。    </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（12）调整预收账款对非财政拨款结余的影响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高等学校应当按照原账的“预收账款”科目余额中预收</w:t>
      </w:r>
      <w:r>
        <w:rPr>
          <w:rFonts w:hint="eastAsia" w:ascii="Times New Roman" w:hAnsi="Times New Roman" w:eastAsia="仿宋_GB2312" w:cs="Times New Roman"/>
          <w:sz w:val="32"/>
          <w:szCs w:val="32"/>
        </w:rPr>
        <w:t>非财政</w:t>
      </w:r>
      <w:r>
        <w:rPr>
          <w:rFonts w:ascii="Times New Roman" w:hAnsi="Times New Roman" w:eastAsia="仿宋_GB2312" w:cs="Times New Roman"/>
          <w:sz w:val="32"/>
          <w:szCs w:val="32"/>
        </w:rPr>
        <w:t>非专项资金的金额，借记“资金结存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货币资金”科目，贷记“非财政拨款结余”科目。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（13）调整其他应付款对非财政拨款结余的影响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高等学校应当对原账的“其他应付款”科目余额（扣除属于受托代理负债的金额）进行分析，区分其中支出类的金额（确认其他应付款时</w:t>
      </w:r>
      <w:r>
        <w:rPr>
          <w:rFonts w:hint="eastAsia" w:ascii="Times New Roman" w:hAnsi="Times New Roman" w:eastAsia="仿宋_GB2312" w:cs="Times New Roman"/>
          <w:sz w:val="32"/>
          <w:szCs w:val="32"/>
        </w:rPr>
        <w:t>计</w:t>
      </w:r>
      <w:r>
        <w:rPr>
          <w:rFonts w:ascii="Times New Roman" w:hAnsi="Times New Roman" w:eastAsia="仿宋_GB2312" w:cs="Times New Roman"/>
          <w:sz w:val="32"/>
          <w:szCs w:val="32"/>
        </w:rPr>
        <w:t>入了支出）</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周转类的金额（如收取的押金、保证金等），并对支出类的金额划分为财政补助资金列支的金额、非财政补助专项资金列支的金额和非财政补助非专项资金列支的金额，按照非财政补助非专项资金列支的金额，借记“资金结存——货币资金”科目，贷记 “非财政拨款结余”科目。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（14）调整专用基金对非财政拨款结余的影响</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高等学校应当对原账的“专用基金”科目余额进行分析，划分出按照收入比例列支提取的专用基金（如</w:t>
      </w:r>
      <w:r>
        <w:rPr>
          <w:rFonts w:hint="eastAsia" w:ascii="Times New Roman" w:hAnsi="Times New Roman" w:eastAsia="仿宋_GB2312" w:cs="Times New Roman"/>
          <w:sz w:val="32"/>
          <w:szCs w:val="32"/>
        </w:rPr>
        <w:t>列支提取的</w:t>
      </w:r>
      <w:r>
        <w:rPr>
          <w:rFonts w:ascii="Times New Roman" w:hAnsi="Times New Roman" w:eastAsia="仿宋_GB2312" w:cs="Times New Roman"/>
          <w:sz w:val="32"/>
          <w:szCs w:val="32"/>
        </w:rPr>
        <w:t>职工福利基金、列支提取的学生奖助基金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），按照列支提取的专用基金的金额，借记“资金结存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货币资金”科目，贷记“非财政拨款结余”科目。</w:t>
      </w:r>
    </w:p>
    <w:p>
      <w:pPr>
        <w:ind w:firstLine="704" w:firstLineChars="2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 高等学校按照前述1、2两个步骤难以准确调整出“非财政拨款结余”科目及对应的“资金结存”科目余额的，在新旧制度转换时，可以在新账的“库存现金”、“银行存款”、“其他货币资金”、“财政应返还额度”科目借方余额合计数基础上，对不纳入单位预算管理的资金进行调整(如减去新账中货币资金形式的受托代理资产、应缴财政款、已收取将来需要退回资金的其他应付款，加上已支付将来需要收回资金的其他应收款），按照调整后的金额减去新账的“财政拨款结转”、“财政拨款结余”、“非财政拨款结转”、“专用结余”科目贷方余额合计数，加上“经营结余”科目借方余额后的金额，登记新账的“非财政拨款结余”科目贷方；同时，按照相同的金额登记新账的“资金结存——货币资金”科目借方。</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（六）“其他结余”、“非财政拨款结余分配”科目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新制度设置了“其他结余”和“非财政拨款结余分配”科目。由于这两个科目年初无余额</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在新旧制度转换时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无</w:t>
      </w:r>
      <w:r>
        <w:rPr>
          <w:rFonts w:ascii="Times New Roman" w:hAnsi="Times New Roman" w:eastAsia="仿宋_GB2312" w:cs="Times New Roman"/>
          <w:kern w:val="0"/>
          <w:sz w:val="32"/>
          <w:szCs w:val="32"/>
        </w:rPr>
        <w:t>需对</w:t>
      </w:r>
      <w:r>
        <w:rPr>
          <w:rFonts w:ascii="Times New Roman" w:hAnsi="Times New Roman" w:eastAsia="仿宋_GB2312" w:cs="Times New Roman"/>
          <w:sz w:val="32"/>
          <w:szCs w:val="32"/>
        </w:rPr>
        <w:t>“其他结余”和“非财政拨款结余分配”科目进行新账年初余额登记。</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（七）预算收入类、预算支出类会计科目</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由于预算收入类、预算支出类会计科目年初无余额，在新旧制度转换时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高等学校无</w:t>
      </w:r>
      <w:r>
        <w:rPr>
          <w:rFonts w:ascii="Times New Roman" w:hAnsi="Times New Roman" w:eastAsia="仿宋_GB2312" w:cs="Times New Roman"/>
          <w:kern w:val="0"/>
          <w:sz w:val="32"/>
          <w:szCs w:val="32"/>
        </w:rPr>
        <w:t>需对</w:t>
      </w:r>
      <w:r>
        <w:rPr>
          <w:rFonts w:ascii="Times New Roman" w:hAnsi="Times New Roman" w:eastAsia="仿宋_GB2312" w:cs="Times New Roman"/>
          <w:sz w:val="32"/>
          <w:szCs w:val="32"/>
        </w:rPr>
        <w:t>预算收入类、预算支出类会计科目进行新账年初余额登记。</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高等学校自2019年1月1日起，应当按照新制度设置预算收入类、预算支出类科目并进行账务处理。</w:t>
      </w:r>
    </w:p>
    <w:p>
      <w:pPr>
        <w:ind w:firstLine="704" w:firstLineChars="22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w:t>
      </w:r>
      <w:r>
        <w:rPr>
          <w:rFonts w:hint="eastAsia" w:ascii="Times New Roman" w:hAnsi="Times New Roman" w:eastAsia="仿宋_GB2312" w:cs="Times New Roman"/>
          <w:sz w:val="32"/>
          <w:szCs w:val="32"/>
        </w:rPr>
        <w:t>存在</w:t>
      </w:r>
      <w:r>
        <w:rPr>
          <w:rFonts w:ascii="Times New Roman" w:hAnsi="Times New Roman" w:eastAsia="仿宋_GB2312" w:cs="Times New Roman"/>
          <w:sz w:val="32"/>
          <w:szCs w:val="32"/>
        </w:rPr>
        <w:t>201</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年12月31日需要按照新制度预算会计核算基础调整预算会计科目期初余额的其他事项</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，应当比照本规定调整新账的相应预算会计科目期初余额。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高等学校对预算会计</w:t>
      </w:r>
      <w:r>
        <w:rPr>
          <w:rFonts w:hint="eastAsia" w:ascii="Times New Roman" w:hAnsi="Times New Roman" w:eastAsia="仿宋_GB2312" w:cs="Times New Roman"/>
          <w:sz w:val="32"/>
          <w:szCs w:val="32"/>
        </w:rPr>
        <w:t>科目</w:t>
      </w:r>
      <w:r>
        <w:rPr>
          <w:rFonts w:ascii="Times New Roman" w:hAnsi="Times New Roman" w:eastAsia="仿宋_GB2312" w:cs="Times New Roman"/>
          <w:sz w:val="32"/>
          <w:szCs w:val="32"/>
        </w:rPr>
        <w:t>期初余额登记和调整，应当编制记账凭证，并将期初余额登记和调整的依据</w:t>
      </w:r>
      <w:r>
        <w:rPr>
          <w:rFonts w:hint="eastAsia" w:ascii="Times New Roman" w:hAnsi="Times New Roman" w:eastAsia="仿宋_GB2312" w:cs="Times New Roman"/>
          <w:sz w:val="32"/>
          <w:szCs w:val="32"/>
        </w:rPr>
        <w:t>作为</w:t>
      </w:r>
      <w:r>
        <w:rPr>
          <w:rFonts w:ascii="Times New Roman" w:hAnsi="Times New Roman" w:eastAsia="仿宋_GB2312" w:cs="Times New Roman"/>
          <w:sz w:val="32"/>
          <w:szCs w:val="32"/>
        </w:rPr>
        <w:t>原始凭证。</w:t>
      </w:r>
    </w:p>
    <w:p>
      <w:pPr>
        <w:ind w:firstLine="704" w:firstLineChars="220"/>
        <w:rPr>
          <w:rFonts w:ascii="黑体" w:hAnsi="黑体" w:eastAsia="黑体" w:cs="Times New Roman"/>
          <w:bCs/>
          <w:sz w:val="32"/>
          <w:szCs w:val="32"/>
        </w:rPr>
      </w:pPr>
      <w:r>
        <w:rPr>
          <w:rFonts w:ascii="黑体" w:hAnsi="黑体" w:eastAsia="黑体" w:cs="Times New Roman"/>
          <w:bCs/>
          <w:sz w:val="32"/>
          <w:szCs w:val="32"/>
        </w:rPr>
        <w:t xml:space="preserve"> 四、财务报表和</w:t>
      </w:r>
      <w:r>
        <w:rPr>
          <w:rFonts w:hint="eastAsia" w:ascii="黑体" w:hAnsi="黑体" w:eastAsia="黑体" w:cs="Times New Roman"/>
          <w:bCs/>
          <w:sz w:val="32"/>
          <w:szCs w:val="32"/>
        </w:rPr>
        <w:t>预算会计</w:t>
      </w:r>
      <w:r>
        <w:rPr>
          <w:rFonts w:ascii="黑体" w:hAnsi="黑体" w:eastAsia="黑体" w:cs="Times New Roman"/>
          <w:bCs/>
          <w:sz w:val="32"/>
          <w:szCs w:val="32"/>
        </w:rPr>
        <w:t>报表</w:t>
      </w:r>
      <w:r>
        <w:rPr>
          <w:rFonts w:hint="eastAsia" w:ascii="黑体" w:hAnsi="黑体" w:eastAsia="黑体" w:cs="Times New Roman"/>
          <w:bCs/>
          <w:sz w:val="32"/>
          <w:szCs w:val="32"/>
        </w:rPr>
        <w:t>的</w:t>
      </w:r>
      <w:r>
        <w:rPr>
          <w:rFonts w:ascii="黑体" w:hAnsi="黑体" w:eastAsia="黑体" w:cs="Times New Roman"/>
          <w:bCs/>
          <w:sz w:val="32"/>
          <w:szCs w:val="32"/>
        </w:rPr>
        <w:t>新旧衔接</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（一）编制2019年1月1日资产负债表</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高等学校应当根据2019年1月1日新账的财务会计科目余额，按照新制度编制2019年1月1日资产负债表（仅要求填列各项目“年初余额”）。</w:t>
      </w:r>
    </w:p>
    <w:p>
      <w:pPr>
        <w:autoSpaceDE w:val="0"/>
        <w:autoSpaceDN w:val="0"/>
        <w:adjustRightInd w:val="0"/>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sz w:val="32"/>
          <w:szCs w:val="32"/>
        </w:rPr>
        <w:t>（二）</w:t>
      </w:r>
      <w:r>
        <w:rPr>
          <w:rFonts w:ascii="Times New Roman" w:hAnsi="Times New Roman" w:eastAsia="仿宋_GB2312" w:cs="Times New Roman"/>
          <w:kern w:val="0"/>
          <w:sz w:val="32"/>
          <w:szCs w:val="32"/>
        </w:rPr>
        <w:t>2019年度财务报表和预算会计报表的编制</w:t>
      </w:r>
    </w:p>
    <w:p>
      <w:pPr>
        <w:widowControl/>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高等学校</w:t>
      </w:r>
      <w:r>
        <w:rPr>
          <w:rFonts w:ascii="Times New Roman" w:hAnsi="Times New Roman" w:eastAsia="仿宋_GB2312" w:cs="Times New Roman"/>
          <w:kern w:val="0"/>
          <w:sz w:val="32"/>
          <w:szCs w:val="32"/>
        </w:rPr>
        <w:t>应当按照新制度</w:t>
      </w:r>
      <w:r>
        <w:rPr>
          <w:rFonts w:hint="eastAsia" w:ascii="Times New Roman" w:hAnsi="Times New Roman" w:eastAsia="仿宋_GB2312" w:cs="Times New Roman"/>
          <w:kern w:val="0"/>
          <w:sz w:val="32"/>
          <w:szCs w:val="32"/>
        </w:rPr>
        <w:t>及补充</w:t>
      </w:r>
      <w:r>
        <w:rPr>
          <w:rFonts w:ascii="Times New Roman" w:hAnsi="Times New Roman" w:eastAsia="仿宋_GB2312" w:cs="Times New Roman"/>
          <w:kern w:val="0"/>
          <w:sz w:val="32"/>
          <w:szCs w:val="32"/>
        </w:rPr>
        <w:t>规定编制2019年财务报表和预算会计报表。在编制2019年度收入费用表、净资产变动表、现金流量表和预算收入支出表、预算结转结余变动表时，不要求填列上年比较数。</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等学校应当根据2019年1月1日新账财务会计科目余额，填列2019年净资产变动表各项目的“上年年末余额”；根据2019年1月1日新账预算会计科目余额，填列2019年预算结转结余变动表的“年初预算结转结余”项目和财政拨款预算收入支出表的“年初财政拨款结转结余”项目。</w:t>
      </w:r>
    </w:p>
    <w:p>
      <w:pPr>
        <w:ind w:firstLine="640" w:firstLineChars="200"/>
        <w:rPr>
          <w:rFonts w:ascii="黑体" w:hAnsi="黑体" w:eastAsia="黑体" w:cs="Times New Roman"/>
          <w:bCs/>
          <w:sz w:val="32"/>
          <w:szCs w:val="32"/>
        </w:rPr>
      </w:pPr>
      <w:r>
        <w:rPr>
          <w:rFonts w:ascii="黑体" w:hAnsi="黑体" w:eastAsia="黑体" w:cs="Times New Roman"/>
          <w:bCs/>
          <w:sz w:val="32"/>
          <w:szCs w:val="32"/>
        </w:rPr>
        <w:t>五、其他事项</w:t>
      </w:r>
    </w:p>
    <w:p>
      <w:pPr>
        <w:ind w:firstLine="560"/>
        <w:rPr>
          <w:rFonts w:ascii="仿宋_GB2312" w:hAnsi="仿宋" w:eastAsia="仿宋_GB2312" w:cs="宋体"/>
          <w:sz w:val="32"/>
          <w:szCs w:val="32"/>
        </w:rPr>
      </w:pPr>
      <w:r>
        <w:rPr>
          <w:rFonts w:hint="eastAsia" w:ascii="仿宋_GB2312" w:hAnsi="仿宋" w:eastAsia="仿宋_GB2312" w:cs="宋体"/>
          <w:sz w:val="32"/>
          <w:szCs w:val="32"/>
        </w:rPr>
        <w:t>（一）截至2018年12月31日尚未进行基建“并账”的高等学校，应当首先按照《新旧高等学校会计制度有关衔接问题的处理规定》（财会〔2014〕3号），将基建账套相关数据并入2018年12月31日原账中的相关科目余额，再按照本规定将2018年12月31日原账相关会计科目余额转入新账相应科目。</w:t>
      </w:r>
    </w:p>
    <w:p>
      <w:pPr>
        <w:widowControl/>
        <w:ind w:firstLine="640" w:firstLineChars="200"/>
        <w:jc w:val="left"/>
        <w:rPr>
          <w:rFonts w:ascii="仿宋" w:hAnsi="仿宋" w:eastAsia="仿宋" w:cs="Times New Roman"/>
          <w:sz w:val="32"/>
          <w:szCs w:val="32"/>
        </w:rPr>
      </w:pPr>
      <w:r>
        <w:rPr>
          <w:rFonts w:hint="eastAsia" w:ascii="Times New Roman" w:hAnsi="Times New Roman" w:eastAsia="仿宋_GB2312" w:cs="Times New Roman"/>
          <w:kern w:val="0"/>
          <w:sz w:val="32"/>
          <w:szCs w:val="32"/>
        </w:rPr>
        <w:t>（二）</w:t>
      </w:r>
      <w:r>
        <w:rPr>
          <w:rFonts w:ascii="Times New Roman" w:hAnsi="Times New Roman" w:eastAsia="仿宋_GB2312" w:cs="Times New Roman"/>
          <w:kern w:val="0"/>
          <w:sz w:val="32"/>
          <w:szCs w:val="32"/>
        </w:rPr>
        <w:t>2019年1月1日前执行新制度</w:t>
      </w:r>
      <w:r>
        <w:rPr>
          <w:rFonts w:hint="eastAsia" w:ascii="Times New Roman" w:hAnsi="Times New Roman" w:eastAsia="仿宋_GB2312" w:cs="Times New Roman"/>
          <w:kern w:val="0"/>
          <w:sz w:val="32"/>
          <w:szCs w:val="32"/>
        </w:rPr>
        <w:t>及补充规定</w:t>
      </w:r>
      <w:r>
        <w:rPr>
          <w:rFonts w:ascii="Times New Roman" w:hAnsi="Times New Roman" w:eastAsia="仿宋_GB2312" w:cs="Times New Roman"/>
          <w:kern w:val="0"/>
          <w:sz w:val="32"/>
          <w:szCs w:val="32"/>
        </w:rPr>
        <w:t>的高等学校，应当</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照本规定做好新旧制度衔接工作。</w:t>
      </w:r>
      <w:r>
        <w:rPr>
          <w:rFonts w:hint="eastAsia" w:ascii="Times New Roman" w:hAnsi="Times New Roman" w:eastAsia="仿宋_GB2312" w:cs="Times New Roman"/>
          <w:sz w:val="32"/>
          <w:szCs w:val="32"/>
        </w:rPr>
        <w:br w:type="page"/>
      </w:r>
      <w:r>
        <w:rPr>
          <w:rFonts w:hint="eastAsia" w:ascii="仿宋" w:hAnsi="仿宋" w:eastAsia="仿宋" w:cs="宋体"/>
          <w:sz w:val="32"/>
          <w:szCs w:val="32"/>
        </w:rPr>
        <w:t>附表1：</w:t>
      </w:r>
    </w:p>
    <w:p>
      <w:pPr>
        <w:ind w:firstLine="707" w:firstLineChars="220"/>
        <w:jc w:val="center"/>
        <w:rPr>
          <w:rFonts w:ascii="仿宋" w:hAnsi="仿宋" w:eastAsia="仿宋"/>
          <w:b/>
          <w:sz w:val="32"/>
          <w:szCs w:val="32"/>
        </w:rPr>
      </w:pPr>
      <w:r>
        <w:rPr>
          <w:rFonts w:hint="eastAsia" w:ascii="仿宋" w:hAnsi="仿宋" w:eastAsia="仿宋"/>
          <w:b/>
          <w:sz w:val="32"/>
          <w:szCs w:val="32"/>
        </w:rPr>
        <w:t>高等学校原会计科目余额明细表一</w:t>
      </w:r>
    </w:p>
    <w:tbl>
      <w:tblPr>
        <w:tblStyle w:val="15"/>
        <w:tblW w:w="861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402"/>
        <w:gridCol w:w="708"/>
        <w:gridCol w:w="28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left"/>
              <w:rPr>
                <w:rFonts w:ascii="仿宋_GB2312" w:hAnsi="仿宋" w:eastAsia="仿宋_GB2312"/>
                <w:sz w:val="24"/>
              </w:rPr>
            </w:pPr>
            <w:r>
              <w:rPr>
                <w:rFonts w:hint="eastAsia" w:ascii="仿宋_GB2312" w:hAnsi="仿宋" w:eastAsia="仿宋_GB2312"/>
                <w:sz w:val="24"/>
              </w:rPr>
              <w:t>总账科目</w:t>
            </w:r>
          </w:p>
        </w:tc>
        <w:tc>
          <w:tcPr>
            <w:tcW w:w="3402" w:type="dxa"/>
            <w:vAlign w:val="center"/>
          </w:tcPr>
          <w:p>
            <w:pPr>
              <w:ind w:firstLine="528" w:firstLineChars="220"/>
              <w:jc w:val="center"/>
              <w:rPr>
                <w:rFonts w:ascii="仿宋_GB2312" w:hAnsi="仿宋" w:eastAsia="仿宋_GB2312"/>
                <w:sz w:val="24"/>
              </w:rPr>
            </w:pPr>
            <w:r>
              <w:rPr>
                <w:rFonts w:hint="eastAsia" w:ascii="仿宋_GB2312" w:hAnsi="仿宋" w:eastAsia="仿宋_GB2312"/>
                <w:sz w:val="24"/>
              </w:rPr>
              <w:t>明细分类</w:t>
            </w:r>
          </w:p>
        </w:tc>
        <w:tc>
          <w:tcPr>
            <w:tcW w:w="708" w:type="dxa"/>
            <w:vAlign w:val="center"/>
          </w:tcPr>
          <w:p>
            <w:pPr>
              <w:rPr>
                <w:rFonts w:ascii="仿宋_GB2312" w:hAnsi="仿宋" w:eastAsia="仿宋_GB2312"/>
                <w:sz w:val="24"/>
              </w:rPr>
            </w:pPr>
            <w:r>
              <w:rPr>
                <w:rFonts w:hint="eastAsia" w:ascii="仿宋_GB2312" w:hAnsi="仿宋" w:eastAsia="仿宋_GB2312"/>
                <w:sz w:val="24"/>
              </w:rPr>
              <w:t>金额</w:t>
            </w:r>
          </w:p>
        </w:tc>
        <w:tc>
          <w:tcPr>
            <w:tcW w:w="2835" w:type="dxa"/>
            <w:vAlign w:val="center"/>
          </w:tcPr>
          <w:p>
            <w:pPr>
              <w:ind w:firstLine="528" w:firstLineChars="220"/>
              <w:jc w:val="center"/>
              <w:rPr>
                <w:rFonts w:ascii="仿宋_GB2312" w:hAnsi="仿宋" w:eastAsia="仿宋_GB2312"/>
                <w:sz w:val="24"/>
              </w:rPr>
            </w:pPr>
            <w:r>
              <w:rPr>
                <w:rFonts w:hint="eastAsia" w:ascii="仿宋_GB2312" w:hAnsi="仿宋" w:eastAsia="仿宋_GB2312"/>
                <w:sz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库存现金</w:t>
            </w:r>
          </w:p>
        </w:tc>
        <w:tc>
          <w:tcPr>
            <w:tcW w:w="3402" w:type="dxa"/>
            <w:vAlign w:val="center"/>
          </w:tcPr>
          <w:p>
            <w:pPr>
              <w:rPr>
                <w:rFonts w:ascii="仿宋_GB2312" w:hAnsi="仿宋" w:eastAsia="仿宋_GB2312"/>
                <w:sz w:val="24"/>
              </w:rPr>
            </w:pPr>
            <w:r>
              <w:rPr>
                <w:rFonts w:hint="eastAsia" w:ascii="仿宋_GB2312" w:hAnsi="仿宋" w:eastAsia="仿宋_GB2312"/>
                <w:sz w:val="24"/>
              </w:rPr>
              <w:t>库存现金</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其中：受托代理现金</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银行存款</w:t>
            </w:r>
          </w:p>
        </w:tc>
        <w:tc>
          <w:tcPr>
            <w:tcW w:w="3402" w:type="dxa"/>
            <w:vAlign w:val="center"/>
          </w:tcPr>
          <w:p>
            <w:pPr>
              <w:rPr>
                <w:rFonts w:ascii="仿宋_GB2312" w:hAnsi="仿宋" w:eastAsia="仿宋_GB2312"/>
                <w:sz w:val="24"/>
              </w:rPr>
            </w:pPr>
            <w:r>
              <w:rPr>
                <w:rFonts w:hint="eastAsia" w:ascii="仿宋_GB2312" w:hAnsi="仿宋" w:eastAsia="仿宋_GB2312"/>
                <w:sz w:val="24"/>
              </w:rPr>
              <w:t>银行存款</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其中：受托代理银行存款</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其他货币资金</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预付账款</w:t>
            </w:r>
          </w:p>
        </w:tc>
        <w:tc>
          <w:tcPr>
            <w:tcW w:w="3402" w:type="dxa"/>
            <w:vAlign w:val="center"/>
          </w:tcPr>
          <w:p>
            <w:pPr>
              <w:rPr>
                <w:rFonts w:ascii="仿宋_GB2312" w:hAnsi="仿宋" w:eastAsia="仿宋_GB2312"/>
                <w:sz w:val="24"/>
              </w:rPr>
            </w:pPr>
            <w:r>
              <w:rPr>
                <w:rFonts w:hint="eastAsia" w:ascii="仿宋_GB2312" w:hAnsi="仿宋" w:eastAsia="仿宋_GB2312"/>
                <w:sz w:val="24"/>
              </w:rPr>
              <w:t>使用受托代理资金预付</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其他</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其他应收款</w:t>
            </w:r>
          </w:p>
        </w:tc>
        <w:tc>
          <w:tcPr>
            <w:tcW w:w="3402" w:type="dxa"/>
            <w:vAlign w:val="center"/>
          </w:tcPr>
          <w:p>
            <w:pPr>
              <w:rPr>
                <w:rFonts w:ascii="仿宋_GB2312" w:hAnsi="仿宋" w:eastAsia="仿宋_GB2312"/>
                <w:sz w:val="24"/>
              </w:rPr>
            </w:pPr>
            <w:r>
              <w:rPr>
                <w:rFonts w:hint="eastAsia" w:ascii="仿宋_GB2312" w:hAnsi="仿宋" w:eastAsia="仿宋_GB2312"/>
                <w:sz w:val="24"/>
              </w:rPr>
              <w:t>在途物品</w:t>
            </w:r>
          </w:p>
        </w:tc>
        <w:tc>
          <w:tcPr>
            <w:tcW w:w="708" w:type="dxa"/>
            <w:vAlign w:val="center"/>
          </w:tcPr>
          <w:p>
            <w:pPr>
              <w:ind w:firstLine="528" w:firstLineChars="220"/>
              <w:rPr>
                <w:rFonts w:ascii="仿宋_GB2312" w:hAnsi="仿宋" w:eastAsia="仿宋_GB2312"/>
                <w:sz w:val="24"/>
              </w:rPr>
            </w:pPr>
          </w:p>
        </w:tc>
        <w:tc>
          <w:tcPr>
            <w:tcW w:w="2835" w:type="dxa"/>
          </w:tcPr>
          <w:p>
            <w:pPr>
              <w:rPr>
                <w:rFonts w:ascii="仿宋_GB2312" w:hAnsi="仿宋" w:eastAsia="仿宋_GB2312"/>
              </w:rPr>
            </w:pPr>
            <w:r>
              <w:rPr>
                <w:rFonts w:hint="eastAsia" w:ascii="仿宋_GB2312" w:hAnsi="Times New Roman" w:eastAsia="仿宋_GB2312" w:cs="Times New Roman"/>
              </w:rPr>
              <w:t>已经付款或已开出商业汇票，尚未收到物资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使用受托代理资金应收</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其他</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存货</w:t>
            </w:r>
          </w:p>
        </w:tc>
        <w:tc>
          <w:tcPr>
            <w:tcW w:w="3402" w:type="dxa"/>
            <w:vAlign w:val="center"/>
          </w:tcPr>
          <w:p>
            <w:pPr>
              <w:rPr>
                <w:rFonts w:ascii="仿宋_GB2312" w:hAnsi="仿宋" w:eastAsia="仿宋_GB2312"/>
                <w:sz w:val="24"/>
              </w:rPr>
            </w:pPr>
            <w:r>
              <w:rPr>
                <w:rFonts w:hint="eastAsia" w:ascii="仿宋_GB2312" w:hAnsi="Times New Roman" w:eastAsia="仿宋_GB2312" w:cs="Times New Roman"/>
                <w:sz w:val="24"/>
              </w:rPr>
              <w:t>在加工存货</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Times New Roman" w:eastAsia="仿宋_GB2312" w:cs="Times New Roman"/>
                <w:sz w:val="24"/>
              </w:rPr>
              <w:t>非在加工存货</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Times New Roman" w:eastAsia="仿宋_GB2312" w:cs="Times New Roman"/>
                <w:sz w:val="24"/>
              </w:rPr>
              <w:t>受托代理资产</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长期投资</w:t>
            </w:r>
          </w:p>
        </w:tc>
        <w:tc>
          <w:tcPr>
            <w:tcW w:w="3402" w:type="dxa"/>
            <w:vAlign w:val="center"/>
          </w:tcPr>
          <w:p>
            <w:pPr>
              <w:rPr>
                <w:rFonts w:ascii="仿宋_GB2312" w:hAnsi="Times New Roman" w:eastAsia="仿宋_GB2312" w:cs="Times New Roman"/>
                <w:sz w:val="24"/>
              </w:rPr>
            </w:pPr>
            <w:r>
              <w:rPr>
                <w:rFonts w:hint="eastAsia" w:ascii="仿宋_GB2312" w:hAnsi="仿宋" w:eastAsia="仿宋_GB2312"/>
                <w:sz w:val="24"/>
              </w:rPr>
              <w:t>长期股权投资</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jc w:val="left"/>
              <w:rPr>
                <w:rFonts w:ascii="仿宋_GB2312" w:hAnsi="仿宋" w:eastAsia="仿宋_GB2312"/>
                <w:sz w:val="24"/>
              </w:rPr>
            </w:pPr>
          </w:p>
        </w:tc>
        <w:tc>
          <w:tcPr>
            <w:tcW w:w="3402" w:type="dxa"/>
            <w:vAlign w:val="center"/>
          </w:tcPr>
          <w:p>
            <w:pPr>
              <w:rPr>
                <w:rFonts w:ascii="仿宋_GB2312" w:hAnsi="Times New Roman" w:eastAsia="仿宋_GB2312" w:cs="Times New Roman"/>
                <w:sz w:val="24"/>
              </w:rPr>
            </w:pPr>
            <w:r>
              <w:rPr>
                <w:rFonts w:hint="eastAsia" w:ascii="仿宋_GB2312" w:hAnsi="仿宋" w:eastAsia="仿宋_GB2312"/>
                <w:sz w:val="24"/>
              </w:rPr>
              <w:t>其中：对企业法人单位的投资</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Times New Roman" w:eastAsia="仿宋_GB2312" w:cs="Times New Roman"/>
                <w:sz w:val="24"/>
              </w:rPr>
            </w:pPr>
            <w:r>
              <w:rPr>
                <w:rFonts w:hint="eastAsia" w:ascii="仿宋_GB2312" w:hAnsi="仿宋" w:eastAsia="仿宋_GB2312"/>
                <w:sz w:val="24"/>
              </w:rPr>
              <w:t>长期债券投资</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固定资产</w:t>
            </w:r>
          </w:p>
        </w:tc>
        <w:tc>
          <w:tcPr>
            <w:tcW w:w="3402" w:type="dxa"/>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固定资产</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受托代理固定资产</w:t>
            </w:r>
          </w:p>
        </w:tc>
        <w:tc>
          <w:tcPr>
            <w:tcW w:w="708" w:type="dxa"/>
            <w:vAlign w:val="center"/>
          </w:tcPr>
          <w:p>
            <w:pPr>
              <w:ind w:firstLine="528" w:firstLineChars="220"/>
              <w:rPr>
                <w:rFonts w:ascii="仿宋_GB2312" w:hAnsi="仿宋" w:eastAsia="仿宋_GB2312"/>
                <w:sz w:val="24"/>
              </w:rPr>
            </w:pPr>
          </w:p>
        </w:tc>
        <w:tc>
          <w:tcPr>
            <w:tcW w:w="2835" w:type="dxa"/>
          </w:tcPr>
          <w:p>
            <w:pPr>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累计折旧</w:t>
            </w:r>
          </w:p>
        </w:tc>
        <w:tc>
          <w:tcPr>
            <w:tcW w:w="3402" w:type="dxa"/>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固定资产累计折旧</w:t>
            </w:r>
          </w:p>
        </w:tc>
        <w:tc>
          <w:tcPr>
            <w:tcW w:w="708" w:type="dxa"/>
            <w:vAlign w:val="center"/>
          </w:tcPr>
          <w:p>
            <w:pPr>
              <w:ind w:firstLine="528" w:firstLineChars="220"/>
              <w:rPr>
                <w:rFonts w:ascii="仿宋_GB2312" w:hAnsi="仿宋" w:eastAsia="仿宋_GB2312"/>
                <w:sz w:val="24"/>
              </w:rPr>
            </w:pPr>
          </w:p>
        </w:tc>
        <w:tc>
          <w:tcPr>
            <w:tcW w:w="2835" w:type="dxa"/>
          </w:tcPr>
          <w:p>
            <w:pPr>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受托代理固定资产累计折旧</w:t>
            </w:r>
          </w:p>
        </w:tc>
        <w:tc>
          <w:tcPr>
            <w:tcW w:w="708" w:type="dxa"/>
            <w:vAlign w:val="center"/>
          </w:tcPr>
          <w:p>
            <w:pPr>
              <w:ind w:firstLine="528" w:firstLineChars="220"/>
              <w:rPr>
                <w:rFonts w:ascii="仿宋_GB2312" w:hAnsi="仿宋" w:eastAsia="仿宋_GB2312"/>
                <w:sz w:val="24"/>
              </w:rPr>
            </w:pPr>
          </w:p>
        </w:tc>
        <w:tc>
          <w:tcPr>
            <w:tcW w:w="2835" w:type="dxa"/>
          </w:tcPr>
          <w:p>
            <w:pPr>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jc w:val="left"/>
              <w:rPr>
                <w:rFonts w:ascii="仿宋_GB2312" w:hAnsi="仿宋" w:eastAsia="仿宋_GB2312"/>
                <w:sz w:val="24"/>
              </w:rPr>
            </w:pPr>
            <w:r>
              <w:rPr>
                <w:rFonts w:hint="eastAsia" w:ascii="仿宋_GB2312" w:hAnsi="仿宋" w:eastAsia="仿宋_GB2312"/>
                <w:sz w:val="24"/>
              </w:rPr>
              <w:t>在建工程</w:t>
            </w:r>
          </w:p>
        </w:tc>
        <w:tc>
          <w:tcPr>
            <w:tcW w:w="3402" w:type="dxa"/>
            <w:vAlign w:val="center"/>
          </w:tcPr>
          <w:p>
            <w:pPr>
              <w:rPr>
                <w:rFonts w:ascii="仿宋_GB2312" w:hAnsi="仿宋" w:eastAsia="仿宋_GB2312"/>
                <w:sz w:val="24"/>
              </w:rPr>
            </w:pPr>
            <w:r>
              <w:rPr>
                <w:rFonts w:hint="eastAsia" w:ascii="仿宋_GB2312" w:hAnsi="仿宋" w:eastAsia="仿宋_GB2312"/>
                <w:sz w:val="24"/>
              </w:rPr>
              <w:t>在建工程</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工程物资</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jc w:val="left"/>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Times New Roman" w:eastAsia="仿宋_GB2312" w:cs="Times New Roman"/>
                <w:sz w:val="24"/>
              </w:rPr>
              <w:t>预付工程款、预付备料款</w:t>
            </w:r>
          </w:p>
        </w:tc>
        <w:tc>
          <w:tcPr>
            <w:tcW w:w="708" w:type="dxa"/>
            <w:vAlign w:val="center"/>
          </w:tcPr>
          <w:p>
            <w:pPr>
              <w:ind w:firstLine="528" w:firstLineChars="220"/>
              <w:rPr>
                <w:rFonts w:ascii="仿宋_GB2312" w:hAnsi="仿宋" w:eastAsia="仿宋_GB2312"/>
                <w:sz w:val="24"/>
              </w:rPr>
            </w:pPr>
          </w:p>
        </w:tc>
        <w:tc>
          <w:tcPr>
            <w:tcW w:w="2835" w:type="dxa"/>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jc w:val="left"/>
              <w:rPr>
                <w:rFonts w:ascii="仿宋_GB2312" w:hAnsi="仿宋" w:eastAsia="仿宋_GB2312" w:cs="宋体"/>
                <w:sz w:val="24"/>
              </w:rPr>
            </w:pPr>
            <w:r>
              <w:rPr>
                <w:rFonts w:hint="eastAsia" w:ascii="仿宋_GB2312" w:hAnsi="仿宋" w:eastAsia="仿宋_GB2312" w:cs="宋体"/>
                <w:sz w:val="24"/>
              </w:rPr>
              <w:t>应缴税费</w:t>
            </w:r>
          </w:p>
        </w:tc>
        <w:tc>
          <w:tcPr>
            <w:tcW w:w="3402" w:type="dxa"/>
            <w:vAlign w:val="center"/>
          </w:tcPr>
          <w:p>
            <w:pPr>
              <w:rPr>
                <w:rFonts w:ascii="仿宋_GB2312" w:hAnsi="仿宋" w:eastAsia="仿宋_GB2312"/>
                <w:sz w:val="24"/>
              </w:rPr>
            </w:pPr>
            <w:r>
              <w:rPr>
                <w:rFonts w:hint="eastAsia" w:ascii="仿宋_GB2312" w:hAnsi="仿宋" w:eastAsia="仿宋_GB2312"/>
                <w:sz w:val="24"/>
              </w:rPr>
              <w:t>应缴增值税</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其他应缴税费</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其他应付款</w:t>
            </w:r>
          </w:p>
        </w:tc>
        <w:tc>
          <w:tcPr>
            <w:tcW w:w="3402" w:type="dxa"/>
            <w:vAlign w:val="center"/>
          </w:tcPr>
          <w:p>
            <w:pPr>
              <w:rPr>
                <w:rFonts w:ascii="仿宋_GB2312" w:hAnsi="仿宋" w:eastAsia="仿宋_GB2312"/>
                <w:sz w:val="24"/>
              </w:rPr>
            </w:pPr>
            <w:r>
              <w:rPr>
                <w:rFonts w:hint="eastAsia" w:ascii="仿宋_GB2312" w:hAnsi="仿宋" w:eastAsia="仿宋_GB2312"/>
                <w:sz w:val="24"/>
              </w:rPr>
              <w:t>其他应付款</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受托代理负债</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代管款项</w:t>
            </w:r>
          </w:p>
        </w:tc>
        <w:tc>
          <w:tcPr>
            <w:tcW w:w="3402" w:type="dxa"/>
            <w:vAlign w:val="center"/>
          </w:tcPr>
          <w:p>
            <w:pPr>
              <w:rPr>
                <w:rFonts w:ascii="仿宋_GB2312" w:hAnsi="仿宋" w:eastAsia="仿宋_GB2312"/>
                <w:sz w:val="24"/>
              </w:rPr>
            </w:pPr>
            <w:r>
              <w:rPr>
                <w:rFonts w:hint="eastAsia" w:ascii="仿宋_GB2312" w:hAnsi="仿宋" w:eastAsia="仿宋_GB2312"/>
                <w:sz w:val="24"/>
              </w:rPr>
              <w:t>受托代理负债</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其他应付款</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ind w:firstLine="528" w:firstLineChars="220"/>
              <w:rPr>
                <w:rFonts w:ascii="仿宋_GB2312" w:hAnsi="仿宋" w:eastAsia="仿宋_GB2312"/>
                <w:sz w:val="24"/>
              </w:rPr>
            </w:pPr>
          </w:p>
        </w:tc>
        <w:tc>
          <w:tcPr>
            <w:tcW w:w="3402" w:type="dxa"/>
            <w:vAlign w:val="center"/>
          </w:tcPr>
          <w:p>
            <w:pPr>
              <w:rPr>
                <w:rFonts w:ascii="仿宋_GB2312" w:hAnsi="仿宋" w:eastAsia="仿宋_GB2312"/>
                <w:sz w:val="24"/>
              </w:rPr>
            </w:pPr>
            <w:r>
              <w:rPr>
                <w:rFonts w:hint="eastAsia" w:ascii="仿宋_GB2312" w:hAnsi="仿宋" w:eastAsia="仿宋_GB2312"/>
                <w:sz w:val="24"/>
              </w:rPr>
              <w:t>长期应付款</w:t>
            </w:r>
          </w:p>
        </w:tc>
        <w:tc>
          <w:tcPr>
            <w:tcW w:w="708" w:type="dxa"/>
            <w:vAlign w:val="center"/>
          </w:tcPr>
          <w:p>
            <w:pPr>
              <w:ind w:firstLine="528" w:firstLineChars="220"/>
              <w:rPr>
                <w:rFonts w:ascii="仿宋_GB2312" w:hAnsi="仿宋" w:eastAsia="仿宋_GB2312"/>
                <w:sz w:val="24"/>
              </w:rPr>
            </w:pPr>
          </w:p>
        </w:tc>
        <w:tc>
          <w:tcPr>
            <w:tcW w:w="2835" w:type="dxa"/>
            <w:vAlign w:val="center"/>
          </w:tcPr>
          <w:p>
            <w:pPr>
              <w:ind w:firstLine="528" w:firstLineChars="220"/>
              <w:rPr>
                <w:rFonts w:ascii="仿宋_GB2312" w:hAnsi="仿宋" w:eastAsia="仿宋_GB2312"/>
                <w:sz w:val="24"/>
              </w:rPr>
            </w:pPr>
          </w:p>
        </w:tc>
      </w:tr>
    </w:tbl>
    <w:p>
      <w:pPr>
        <w:widowControl/>
        <w:jc w:val="left"/>
        <w:rPr>
          <w:rFonts w:ascii="仿宋" w:hAnsi="仿宋" w:eastAsia="仿宋" w:cs="Times New Roman"/>
          <w:sz w:val="32"/>
          <w:szCs w:val="32"/>
        </w:rPr>
      </w:pPr>
      <w:r>
        <w:rPr>
          <w:rFonts w:hint="eastAsia" w:ascii="仿宋" w:hAnsi="仿宋" w:eastAsia="仿宋" w:cs="宋体"/>
          <w:sz w:val="32"/>
          <w:szCs w:val="32"/>
        </w:rPr>
        <w:t>附表2：</w:t>
      </w:r>
    </w:p>
    <w:p>
      <w:pPr>
        <w:jc w:val="center"/>
        <w:rPr>
          <w:rFonts w:ascii="仿宋" w:hAnsi="仿宋" w:eastAsia="仿宋"/>
          <w:b/>
          <w:sz w:val="32"/>
          <w:szCs w:val="32"/>
        </w:rPr>
      </w:pPr>
      <w:r>
        <w:rPr>
          <w:rFonts w:hint="eastAsia" w:ascii="仿宋" w:hAnsi="仿宋" w:eastAsia="仿宋"/>
          <w:b/>
          <w:sz w:val="32"/>
          <w:szCs w:val="32"/>
        </w:rPr>
        <w:t>高等学校原会计科目余额明细表二</w:t>
      </w:r>
    </w:p>
    <w:tbl>
      <w:tblPr>
        <w:tblStyle w:val="15"/>
        <w:tblW w:w="861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4252"/>
        <w:gridCol w:w="709"/>
        <w:gridCol w:w="19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仿宋_GB2312" w:hAnsi="仿宋" w:eastAsia="仿宋_GB2312"/>
                <w:sz w:val="24"/>
              </w:rPr>
            </w:pPr>
            <w:r>
              <w:rPr>
                <w:rFonts w:hint="eastAsia" w:ascii="仿宋_GB2312" w:hAnsi="仿宋" w:eastAsia="仿宋_GB2312"/>
                <w:sz w:val="24"/>
              </w:rPr>
              <w:t>总账科目</w:t>
            </w:r>
          </w:p>
        </w:tc>
        <w:tc>
          <w:tcPr>
            <w:tcW w:w="4252" w:type="dxa"/>
            <w:vAlign w:val="center"/>
          </w:tcPr>
          <w:p>
            <w:pPr>
              <w:jc w:val="center"/>
              <w:rPr>
                <w:rFonts w:ascii="仿宋_GB2312" w:hAnsi="仿宋" w:eastAsia="仿宋_GB2312"/>
                <w:sz w:val="24"/>
              </w:rPr>
            </w:pPr>
            <w:r>
              <w:rPr>
                <w:rFonts w:hint="eastAsia" w:ascii="仿宋_GB2312" w:hAnsi="仿宋" w:eastAsia="仿宋_GB2312"/>
                <w:sz w:val="24"/>
              </w:rPr>
              <w:t>明细分类</w:t>
            </w:r>
          </w:p>
        </w:tc>
        <w:tc>
          <w:tcPr>
            <w:tcW w:w="709" w:type="dxa"/>
            <w:vAlign w:val="center"/>
          </w:tcPr>
          <w:p>
            <w:pPr>
              <w:jc w:val="center"/>
              <w:rPr>
                <w:rFonts w:ascii="仿宋_GB2312" w:hAnsi="仿宋" w:eastAsia="仿宋_GB2312"/>
                <w:sz w:val="24"/>
              </w:rPr>
            </w:pPr>
            <w:r>
              <w:rPr>
                <w:rFonts w:hint="eastAsia" w:ascii="仿宋_GB2312" w:hAnsi="仿宋" w:eastAsia="仿宋_GB2312"/>
                <w:sz w:val="24"/>
              </w:rPr>
              <w:t>金额</w:t>
            </w:r>
          </w:p>
        </w:tc>
        <w:tc>
          <w:tcPr>
            <w:tcW w:w="1984" w:type="dxa"/>
            <w:vAlign w:val="center"/>
          </w:tcPr>
          <w:p>
            <w:pPr>
              <w:jc w:val="center"/>
              <w:rPr>
                <w:rFonts w:ascii="仿宋_GB2312" w:hAnsi="仿宋" w:eastAsia="仿宋_GB2312"/>
                <w:sz w:val="24"/>
              </w:rPr>
            </w:pPr>
            <w:r>
              <w:rPr>
                <w:rFonts w:hint="eastAsia" w:ascii="仿宋_GB2312" w:hAnsi="仿宋" w:eastAsia="仿宋_GB2312"/>
                <w:sz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668" w:type="dxa"/>
            <w:vMerge w:val="restart"/>
            <w:vAlign w:val="center"/>
          </w:tcPr>
          <w:p>
            <w:pPr>
              <w:rPr>
                <w:rFonts w:ascii="仿宋_GB2312" w:hAnsi="仿宋" w:eastAsia="仿宋_GB2312" w:cs="宋体"/>
                <w:sz w:val="24"/>
              </w:rPr>
            </w:pPr>
            <w:r>
              <w:rPr>
                <w:rFonts w:hint="eastAsia" w:ascii="仿宋_GB2312" w:hAnsi="仿宋" w:eastAsia="仿宋_GB2312" w:cs="宋体"/>
                <w:sz w:val="24"/>
              </w:rPr>
              <w:t>应收票据、应收账款</w:t>
            </w:r>
          </w:p>
        </w:tc>
        <w:tc>
          <w:tcPr>
            <w:tcW w:w="4252" w:type="dxa"/>
            <w:vAlign w:val="center"/>
          </w:tcPr>
          <w:p>
            <w:pPr>
              <w:rPr>
                <w:rFonts w:ascii="仿宋_GB2312" w:hAnsi="仿宋" w:eastAsia="仿宋_GB2312" w:cs="宋体"/>
                <w:sz w:val="24"/>
              </w:rPr>
            </w:pPr>
            <w:r>
              <w:rPr>
                <w:rFonts w:hint="eastAsia" w:ascii="仿宋_GB2312" w:hAnsi="仿宋" w:eastAsia="仿宋_GB2312" w:cs="宋体"/>
                <w:sz w:val="24"/>
              </w:rPr>
              <w:t>发生时不计入收入</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如转让资产的应收票据、应收账款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cs="宋体"/>
                <w:sz w:val="24"/>
              </w:rPr>
            </w:pPr>
            <w:r>
              <w:rPr>
                <w:rFonts w:hint="eastAsia" w:ascii="仿宋_GB2312" w:hAnsi="仿宋" w:eastAsia="仿宋_GB2312" w:cs="宋体"/>
                <w:sz w:val="24"/>
              </w:rPr>
              <w:t>发生时计入收入</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cs="宋体"/>
                <w:sz w:val="24"/>
              </w:rPr>
            </w:pPr>
            <w:r>
              <w:rPr>
                <w:rFonts w:hint="eastAsia" w:ascii="仿宋_GB2312" w:hAnsi="仿宋" w:eastAsia="仿宋_GB2312" w:cs="宋体"/>
                <w:sz w:val="24"/>
              </w:rPr>
              <w:t>其中：专项收入</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cs="宋体"/>
                <w:sz w:val="24"/>
              </w:rPr>
            </w:pPr>
            <w:r>
              <w:rPr>
                <w:rFonts w:ascii="仿宋_GB2312" w:hAnsi="仿宋" w:eastAsia="仿宋_GB2312" w:cs="宋体"/>
                <w:sz w:val="24"/>
              </w:rPr>
              <w:t xml:space="preserve">      其他</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cs="宋体"/>
                <w:sz w:val="24"/>
              </w:rPr>
            </w:pPr>
            <w:r>
              <w:rPr>
                <w:rFonts w:hint="eastAsia" w:ascii="仿宋_GB2312" w:hAnsi="仿宋" w:eastAsia="仿宋_GB2312" w:cs="宋体"/>
                <w:sz w:val="24"/>
              </w:rPr>
              <w:t>预付账款</w:t>
            </w:r>
            <w:r>
              <w:rPr>
                <w:rFonts w:hint="eastAsia" w:ascii="仿宋_GB2312" w:hAnsi="仿宋" w:eastAsia="仿宋_GB2312"/>
                <w:sz w:val="24"/>
              </w:rPr>
              <w:t>（扣除属于受托代理资产的预付款）</w:t>
            </w:r>
          </w:p>
        </w:tc>
        <w:tc>
          <w:tcPr>
            <w:tcW w:w="4252" w:type="dxa"/>
            <w:vAlign w:val="center"/>
          </w:tcPr>
          <w:p>
            <w:pPr>
              <w:rPr>
                <w:rFonts w:ascii="仿宋_GB2312" w:hAnsi="仿宋" w:eastAsia="仿宋_GB2312"/>
                <w:sz w:val="24"/>
              </w:rPr>
            </w:pPr>
            <w:r>
              <w:rPr>
                <w:rFonts w:hint="eastAsia" w:ascii="仿宋_GB2312" w:hAnsi="仿宋" w:eastAsia="仿宋_GB2312"/>
                <w:sz w:val="24"/>
              </w:rPr>
              <w:t>财政补助资金预付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非财政补助专项资金预付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非财政补助非专项资金预付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cs="宋体"/>
                <w:sz w:val="24"/>
              </w:rPr>
            </w:pPr>
            <w:r>
              <w:rPr>
                <w:rFonts w:hint="eastAsia" w:ascii="仿宋_GB2312" w:hAnsi="仿宋" w:eastAsia="仿宋_GB2312"/>
                <w:sz w:val="24"/>
              </w:rPr>
              <w:t>其他应收款（扣除属于受托代理资产的应收款）</w:t>
            </w:r>
          </w:p>
        </w:tc>
        <w:tc>
          <w:tcPr>
            <w:tcW w:w="4252" w:type="dxa"/>
            <w:vAlign w:val="center"/>
          </w:tcPr>
          <w:p>
            <w:pPr>
              <w:rPr>
                <w:rFonts w:ascii="仿宋_GB2312" w:hAnsi="仿宋" w:eastAsia="仿宋_GB2312"/>
                <w:sz w:val="24"/>
              </w:rPr>
            </w:pPr>
            <w:r>
              <w:rPr>
                <w:rFonts w:hint="eastAsia" w:ascii="仿宋_GB2312" w:hAnsi="仿宋" w:eastAsia="仿宋_GB2312"/>
                <w:sz w:val="24"/>
              </w:rPr>
              <w:t>预付款项</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如职工预借的差旅费等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其中：财政补助资金预付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非财政补助专项资金预付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cs="宋体"/>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非财政补助非专项资金预付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668" w:type="dxa"/>
            <w:vMerge w:val="continue"/>
            <w:vAlign w:val="center"/>
          </w:tcPr>
          <w:p>
            <w:pPr>
              <w:rPr>
                <w:rFonts w:ascii="仿宋_GB2312" w:hAnsi="仿宋" w:eastAsia="仿宋_GB2312" w:cs="宋体"/>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需要收回及其他</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如支付的押金、应收为职工垫付的款项等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存货（扣除属于受托代理资产的存货）</w:t>
            </w:r>
          </w:p>
        </w:tc>
        <w:tc>
          <w:tcPr>
            <w:tcW w:w="4252" w:type="dxa"/>
            <w:vAlign w:val="center"/>
          </w:tcPr>
          <w:p>
            <w:pPr>
              <w:rPr>
                <w:rFonts w:ascii="仿宋_GB2312" w:hAnsi="仿宋" w:eastAsia="仿宋_GB2312"/>
                <w:sz w:val="24"/>
              </w:rPr>
            </w:pPr>
            <w:r>
              <w:rPr>
                <w:rFonts w:hint="eastAsia" w:ascii="仿宋_GB2312" w:hAnsi="仿宋" w:eastAsia="仿宋_GB2312"/>
                <w:sz w:val="24"/>
              </w:rPr>
              <w:t>购入存货</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其中：使用财政补助资金购入</w:t>
            </w:r>
            <w:r>
              <w:rPr>
                <w:rFonts w:ascii="仿宋_GB2312" w:hAnsi="仿宋" w:eastAsia="仿宋_GB2312"/>
                <w:sz w:val="24"/>
              </w:rPr>
              <w:t xml:space="preserve">     </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ind w:firstLine="600" w:firstLineChars="250"/>
              <w:rPr>
                <w:rFonts w:ascii="仿宋_GB2312" w:hAnsi="仿宋" w:eastAsia="仿宋_GB2312"/>
                <w:sz w:val="24"/>
              </w:rPr>
            </w:pPr>
            <w:r>
              <w:rPr>
                <w:rFonts w:hint="eastAsia" w:ascii="仿宋_GB2312" w:hAnsi="仿宋" w:eastAsia="仿宋_GB2312"/>
                <w:sz w:val="24"/>
              </w:rPr>
              <w:t>使用非财政补助专项资金购入</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ind w:firstLine="600" w:firstLineChars="250"/>
              <w:rPr>
                <w:rFonts w:ascii="仿宋_GB2312" w:hAnsi="仿宋" w:eastAsia="仿宋_GB2312"/>
                <w:sz w:val="24"/>
              </w:rPr>
            </w:pPr>
            <w:r>
              <w:rPr>
                <w:rFonts w:hint="eastAsia" w:ascii="仿宋_GB2312" w:hAnsi="仿宋" w:eastAsia="仿宋_GB2312"/>
                <w:sz w:val="24"/>
              </w:rPr>
              <w:t>使用非财政补助非专项资金购入</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非购入存货</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如无偿调入、接受捐赠的存货等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restart"/>
            <w:vAlign w:val="center"/>
          </w:tcPr>
          <w:p>
            <w:pPr>
              <w:rPr>
                <w:rFonts w:ascii="仿宋_GB2312" w:hAnsi="仿宋" w:eastAsia="仿宋_GB2312"/>
                <w:sz w:val="24"/>
              </w:rPr>
            </w:pPr>
            <w:r>
              <w:rPr>
                <w:rFonts w:hint="eastAsia" w:ascii="仿宋_GB2312" w:hAnsi="仿宋" w:eastAsia="仿宋_GB2312"/>
                <w:sz w:val="24"/>
              </w:rPr>
              <w:t>长期投资（扣除对非企业法人股权投资）</w:t>
            </w:r>
          </w:p>
        </w:tc>
        <w:tc>
          <w:tcPr>
            <w:tcW w:w="4252" w:type="dxa"/>
            <w:vAlign w:val="center"/>
          </w:tcPr>
          <w:p>
            <w:pPr>
              <w:rPr>
                <w:rFonts w:ascii="仿宋_GB2312" w:hAnsi="仿宋" w:eastAsia="仿宋_GB2312"/>
                <w:sz w:val="24"/>
              </w:rPr>
            </w:pPr>
            <w:r>
              <w:rPr>
                <w:rFonts w:hint="eastAsia" w:ascii="仿宋_GB2312" w:hAnsi="仿宋" w:eastAsia="仿宋_GB2312"/>
                <w:sz w:val="24"/>
              </w:rPr>
              <w:t>长期股权投资</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其中：用现金资产取得</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ascii="仿宋_GB2312" w:hAnsi="仿宋" w:eastAsia="仿宋_GB2312"/>
                <w:sz w:val="24"/>
              </w:rPr>
              <w:t xml:space="preserve">      用非现金资产或其他方式取得</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长期债券投资</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应付票据、应付账款</w:t>
            </w:r>
          </w:p>
        </w:tc>
        <w:tc>
          <w:tcPr>
            <w:tcW w:w="4252" w:type="dxa"/>
            <w:vAlign w:val="center"/>
          </w:tcPr>
          <w:p>
            <w:pPr>
              <w:rPr>
                <w:rFonts w:ascii="仿宋_GB2312" w:hAnsi="仿宋" w:eastAsia="仿宋_GB2312"/>
                <w:sz w:val="24"/>
              </w:rPr>
            </w:pPr>
            <w:r>
              <w:rPr>
                <w:rFonts w:hint="eastAsia" w:ascii="仿宋_GB2312" w:hAnsi="仿宋" w:eastAsia="仿宋_GB2312"/>
                <w:sz w:val="24"/>
              </w:rPr>
              <w:t>发生时不计入支出</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发生时计入支出</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其中：财政补助资金应付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非财政补助专项资金应付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非财政补助非专项资金应付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预收账款</w:t>
            </w:r>
            <w:r>
              <w:rPr>
                <w:rFonts w:ascii="仿宋_GB2312" w:hAnsi="仿宋" w:eastAsia="仿宋_GB2312"/>
                <w:sz w:val="24"/>
              </w:rPr>
              <w:t xml:space="preserve"> </w:t>
            </w:r>
          </w:p>
        </w:tc>
        <w:tc>
          <w:tcPr>
            <w:tcW w:w="4252" w:type="dxa"/>
            <w:vAlign w:val="center"/>
          </w:tcPr>
          <w:p>
            <w:pPr>
              <w:rPr>
                <w:rFonts w:ascii="仿宋_GB2312" w:hAnsi="仿宋" w:eastAsia="仿宋_GB2312"/>
                <w:sz w:val="24"/>
              </w:rPr>
            </w:pPr>
            <w:r>
              <w:rPr>
                <w:rFonts w:hint="eastAsia" w:ascii="仿宋_GB2312" w:hAnsi="仿宋" w:eastAsia="仿宋_GB2312"/>
                <w:sz w:val="24"/>
              </w:rPr>
              <w:t>预收专项资金</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预收非专项资金</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应缴税费─应缴增值税</w:t>
            </w: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非财政补助专项资金应交</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非财政补助非专项资金应交</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应缴税费─应缴其他税费</w:t>
            </w:r>
          </w:p>
        </w:tc>
        <w:tc>
          <w:tcPr>
            <w:tcW w:w="4252" w:type="dxa"/>
            <w:vAlign w:val="center"/>
          </w:tcPr>
          <w:p>
            <w:pPr>
              <w:rPr>
                <w:rFonts w:ascii="仿宋_GB2312" w:hAnsi="仿宋" w:eastAsia="仿宋_GB2312"/>
                <w:sz w:val="24"/>
              </w:rPr>
            </w:pPr>
            <w:r>
              <w:rPr>
                <w:rFonts w:hint="eastAsia" w:ascii="仿宋_GB2312" w:hAnsi="仿宋" w:eastAsia="仿宋_GB2312"/>
                <w:sz w:val="24"/>
              </w:rPr>
              <w:t>财政补助资金应交</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非财政补助专项资金应交</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非财政补助非专项资金应交</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其他应付款（扣除属于受托代理负债的金额）</w:t>
            </w:r>
          </w:p>
        </w:tc>
        <w:tc>
          <w:tcPr>
            <w:tcW w:w="4252" w:type="dxa"/>
            <w:vAlign w:val="center"/>
          </w:tcPr>
          <w:p>
            <w:pPr>
              <w:rPr>
                <w:rFonts w:ascii="仿宋_GB2312" w:hAnsi="仿宋" w:eastAsia="仿宋_GB2312"/>
                <w:sz w:val="24"/>
              </w:rPr>
            </w:pPr>
            <w:r>
              <w:rPr>
                <w:rFonts w:hint="eastAsia" w:ascii="仿宋_GB2312" w:hAnsi="仿宋" w:eastAsia="仿宋_GB2312"/>
                <w:sz w:val="24"/>
              </w:rPr>
              <w:t>支出类</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确认其他应付款时确认了支出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其中：财政补助资金应付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非财政补助专项资金应付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ind w:firstLine="720" w:firstLineChars="300"/>
              <w:rPr>
                <w:rFonts w:ascii="仿宋_GB2312" w:hAnsi="仿宋" w:eastAsia="仿宋_GB2312"/>
                <w:sz w:val="24"/>
              </w:rPr>
            </w:pPr>
            <w:r>
              <w:rPr>
                <w:rFonts w:hint="eastAsia" w:ascii="仿宋_GB2312" w:hAnsi="仿宋" w:eastAsia="仿宋_GB2312"/>
                <w:sz w:val="24"/>
              </w:rPr>
              <w:t>非财政补助非专项资金应付</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周转类</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r>
              <w:rPr>
                <w:rFonts w:hint="eastAsia" w:ascii="仿宋_GB2312" w:hAnsi="仿宋" w:eastAsia="仿宋_GB2312"/>
              </w:rPr>
              <w:t>如收取的押金、保证金等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rPr>
                <w:rFonts w:ascii="仿宋_GB2312" w:hAnsi="仿宋" w:eastAsia="仿宋_GB2312"/>
                <w:sz w:val="24"/>
              </w:rPr>
            </w:pPr>
            <w:r>
              <w:rPr>
                <w:rFonts w:hint="eastAsia" w:ascii="仿宋_GB2312" w:hAnsi="仿宋" w:eastAsia="仿宋_GB2312"/>
                <w:sz w:val="24"/>
              </w:rPr>
              <w:t>专用基金</w:t>
            </w:r>
          </w:p>
        </w:tc>
        <w:tc>
          <w:tcPr>
            <w:tcW w:w="4252" w:type="dxa"/>
            <w:vAlign w:val="center"/>
          </w:tcPr>
          <w:p>
            <w:pPr>
              <w:rPr>
                <w:rFonts w:ascii="仿宋_GB2312" w:hAnsi="仿宋" w:eastAsia="仿宋_GB2312"/>
                <w:sz w:val="24"/>
              </w:rPr>
            </w:pPr>
            <w:r>
              <w:rPr>
                <w:rFonts w:hint="eastAsia" w:ascii="仿宋_GB2312" w:hAnsi="仿宋" w:eastAsia="仿宋_GB2312"/>
                <w:sz w:val="24"/>
              </w:rPr>
              <w:t>从非财政补助结余分配中提取</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从收入中列支提取</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rPr>
                <w:rFonts w:ascii="仿宋_GB2312" w:hAnsi="仿宋" w:eastAsia="仿宋_GB2312"/>
                <w:sz w:val="24"/>
              </w:rPr>
            </w:pPr>
          </w:p>
        </w:tc>
        <w:tc>
          <w:tcPr>
            <w:tcW w:w="4252" w:type="dxa"/>
            <w:vAlign w:val="center"/>
          </w:tcPr>
          <w:p>
            <w:pPr>
              <w:rPr>
                <w:rFonts w:ascii="仿宋_GB2312" w:hAnsi="仿宋" w:eastAsia="仿宋_GB2312"/>
                <w:sz w:val="24"/>
              </w:rPr>
            </w:pPr>
            <w:r>
              <w:rPr>
                <w:rFonts w:hint="eastAsia" w:ascii="仿宋_GB2312" w:hAnsi="仿宋" w:eastAsia="仿宋_GB2312"/>
                <w:sz w:val="24"/>
              </w:rPr>
              <w:t>其他</w:t>
            </w:r>
          </w:p>
        </w:tc>
        <w:tc>
          <w:tcPr>
            <w:tcW w:w="709" w:type="dxa"/>
            <w:vAlign w:val="center"/>
          </w:tcPr>
          <w:p>
            <w:pPr>
              <w:rPr>
                <w:rFonts w:ascii="仿宋_GB2312" w:hAnsi="仿宋" w:eastAsia="仿宋_GB2312"/>
                <w:sz w:val="24"/>
              </w:rPr>
            </w:pPr>
          </w:p>
        </w:tc>
        <w:tc>
          <w:tcPr>
            <w:tcW w:w="1984" w:type="dxa"/>
          </w:tcPr>
          <w:p>
            <w:pPr>
              <w:rPr>
                <w:rFonts w:ascii="仿宋_GB2312" w:hAnsi="仿宋" w:eastAsia="仿宋_GB2312"/>
              </w:rPr>
            </w:pPr>
          </w:p>
        </w:tc>
      </w:tr>
    </w:tbl>
    <w:p>
      <w:pPr>
        <w:widowControl/>
        <w:jc w:val="left"/>
        <w:rPr>
          <w:rFonts w:asciiTheme="minorEastAsia" w:hAnsiTheme="minorEastAsia"/>
          <w:sz w:val="28"/>
          <w:szCs w:val="28"/>
        </w:rPr>
      </w:pPr>
    </w:p>
    <w:p>
      <w:pPr>
        <w:widowControl/>
        <w:jc w:val="left"/>
        <w:rPr>
          <w:rFonts w:ascii="仿宋" w:hAnsi="仿宋" w:eastAsia="仿宋" w:cs="宋体"/>
          <w:sz w:val="32"/>
          <w:szCs w:val="32"/>
        </w:rPr>
      </w:pPr>
      <w:r>
        <w:rPr>
          <w:rFonts w:ascii="仿宋" w:hAnsi="仿宋" w:eastAsia="仿宋" w:cs="宋体"/>
          <w:sz w:val="32"/>
          <w:szCs w:val="32"/>
        </w:rPr>
        <w:br w:type="page"/>
      </w:r>
    </w:p>
    <w:p>
      <w:pPr>
        <w:jc w:val="left"/>
        <w:rPr>
          <w:rFonts w:ascii="仿宋" w:hAnsi="仿宋" w:eastAsia="仿宋" w:cs="Times New Roman"/>
          <w:sz w:val="32"/>
          <w:szCs w:val="32"/>
        </w:rPr>
      </w:pPr>
      <w:r>
        <w:rPr>
          <w:rFonts w:hint="eastAsia" w:ascii="仿宋" w:hAnsi="仿宋" w:eastAsia="仿宋" w:cs="宋体"/>
          <w:sz w:val="32"/>
          <w:szCs w:val="32"/>
        </w:rPr>
        <w:t>附表3：</w:t>
      </w:r>
    </w:p>
    <w:p>
      <w:pPr>
        <w:jc w:val="center"/>
        <w:rPr>
          <w:rFonts w:ascii="仿宋" w:hAnsi="仿宋" w:eastAsia="仿宋" w:cs="Times New Roman"/>
          <w:b/>
          <w:bCs/>
          <w:sz w:val="32"/>
          <w:szCs w:val="32"/>
        </w:rPr>
      </w:pPr>
      <w:r>
        <w:rPr>
          <w:rFonts w:hint="eastAsia" w:ascii="仿宋" w:hAnsi="仿宋" w:eastAsia="仿宋" w:cs="宋体"/>
          <w:b/>
          <w:bCs/>
          <w:sz w:val="32"/>
          <w:szCs w:val="32"/>
        </w:rPr>
        <w:t>高等学校新旧会计制度转账、登记新账科目对照表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68"/>
        <w:gridCol w:w="1081"/>
        <w:gridCol w:w="47"/>
        <w:gridCol w:w="3100"/>
        <w:gridCol w:w="845"/>
        <w:gridCol w:w="28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restart"/>
            <w:vAlign w:val="center"/>
          </w:tcPr>
          <w:p>
            <w:pPr>
              <w:jc w:val="center"/>
              <w:rPr>
                <w:rFonts w:ascii="仿宋_GB2312" w:hAnsi="仿宋" w:eastAsia="仿宋_GB2312" w:cs="Times New Roman"/>
                <w:sz w:val="24"/>
              </w:rPr>
            </w:pPr>
            <w:r>
              <w:rPr>
                <w:rFonts w:hint="eastAsia" w:ascii="仿宋_GB2312" w:hAnsi="仿宋" w:eastAsia="仿宋_GB2312" w:cs="宋体"/>
                <w:sz w:val="24"/>
              </w:rPr>
              <w:t>序号</w:t>
            </w:r>
          </w:p>
        </w:tc>
        <w:tc>
          <w:tcPr>
            <w:tcW w:w="2465" w:type="pct"/>
            <w:gridSpan w:val="4"/>
            <w:vAlign w:val="center"/>
          </w:tcPr>
          <w:p>
            <w:pPr>
              <w:jc w:val="center"/>
              <w:rPr>
                <w:rFonts w:ascii="仿宋_GB2312" w:hAnsi="仿宋" w:eastAsia="仿宋_GB2312" w:cs="Times New Roman"/>
                <w:sz w:val="24"/>
              </w:rPr>
            </w:pPr>
            <w:r>
              <w:rPr>
                <w:rFonts w:hint="eastAsia" w:ascii="仿宋_GB2312" w:hAnsi="仿宋" w:eastAsia="仿宋_GB2312" w:cs="宋体"/>
                <w:sz w:val="24"/>
              </w:rPr>
              <w:t>新制度会计科目</w:t>
            </w:r>
          </w:p>
        </w:tc>
        <w:tc>
          <w:tcPr>
            <w:tcW w:w="2108" w:type="pct"/>
            <w:gridSpan w:val="2"/>
            <w:vAlign w:val="center"/>
          </w:tcPr>
          <w:p>
            <w:pPr>
              <w:jc w:val="center"/>
              <w:rPr>
                <w:rFonts w:ascii="仿宋_GB2312" w:hAnsi="仿宋" w:eastAsia="仿宋_GB2312" w:cs="Times New Roman"/>
                <w:sz w:val="24"/>
              </w:rPr>
            </w:pPr>
            <w:r>
              <w:rPr>
                <w:rFonts w:hint="eastAsia" w:ascii="仿宋_GB2312" w:hAnsi="仿宋" w:eastAsia="仿宋_GB2312" w:cs="宋体"/>
                <w:sz w:val="24"/>
              </w:rPr>
              <w:t>原制度会计科目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pPr>
              <w:rPr>
                <w:rFonts w:ascii="仿宋_GB2312" w:hAnsi="仿宋" w:eastAsia="仿宋_GB2312" w:cs="Times New Roman"/>
                <w:sz w:val="24"/>
              </w:rPr>
            </w:pPr>
          </w:p>
        </w:tc>
        <w:tc>
          <w:tcPr>
            <w:tcW w:w="659" w:type="pct"/>
            <w:gridSpan w:val="2"/>
          </w:tcPr>
          <w:p>
            <w:pPr>
              <w:jc w:val="center"/>
              <w:rPr>
                <w:rFonts w:ascii="仿宋_GB2312" w:hAnsi="仿宋" w:eastAsia="仿宋_GB2312" w:cs="Times New Roman"/>
                <w:sz w:val="24"/>
              </w:rPr>
            </w:pPr>
            <w:r>
              <w:rPr>
                <w:rFonts w:hint="eastAsia" w:ascii="仿宋_GB2312" w:hAnsi="仿宋" w:eastAsia="仿宋_GB2312" w:cs="宋体"/>
                <w:sz w:val="24"/>
              </w:rPr>
              <w:t>编号</w:t>
            </w:r>
          </w:p>
        </w:tc>
        <w:tc>
          <w:tcPr>
            <w:tcW w:w="1805" w:type="pct"/>
            <w:gridSpan w:val="2"/>
          </w:tcPr>
          <w:p>
            <w:pPr>
              <w:jc w:val="center"/>
              <w:rPr>
                <w:rFonts w:ascii="仿宋_GB2312" w:hAnsi="仿宋" w:eastAsia="仿宋_GB2312" w:cs="Times New Roman"/>
                <w:sz w:val="24"/>
              </w:rPr>
            </w:pPr>
            <w:r>
              <w:rPr>
                <w:rFonts w:hint="eastAsia" w:ascii="仿宋_GB2312" w:hAnsi="仿宋" w:eastAsia="仿宋_GB2312" w:cs="宋体"/>
                <w:sz w:val="24"/>
              </w:rPr>
              <w:t>名称</w:t>
            </w:r>
          </w:p>
        </w:tc>
        <w:tc>
          <w:tcPr>
            <w:tcW w:w="485" w:type="pct"/>
          </w:tcPr>
          <w:p>
            <w:pPr>
              <w:jc w:val="center"/>
              <w:rPr>
                <w:rFonts w:ascii="仿宋_GB2312" w:hAnsi="仿宋" w:eastAsia="仿宋_GB2312" w:cs="Times New Roman"/>
                <w:sz w:val="24"/>
              </w:rPr>
            </w:pPr>
            <w:r>
              <w:rPr>
                <w:rFonts w:hint="eastAsia" w:ascii="仿宋_GB2312" w:hAnsi="仿宋" w:eastAsia="仿宋_GB2312" w:cs="宋体"/>
                <w:sz w:val="24"/>
              </w:rPr>
              <w:t>编号</w:t>
            </w:r>
          </w:p>
        </w:tc>
        <w:tc>
          <w:tcPr>
            <w:tcW w:w="1623" w:type="pct"/>
          </w:tcPr>
          <w:p>
            <w:pPr>
              <w:jc w:val="center"/>
              <w:rPr>
                <w:rFonts w:ascii="仿宋_GB2312" w:hAnsi="仿宋" w:eastAsia="仿宋_GB2312" w:cs="Times New Roman"/>
                <w:sz w:val="24"/>
              </w:rPr>
            </w:pPr>
            <w:r>
              <w:rPr>
                <w:rFonts w:hint="eastAsia" w:ascii="仿宋_GB2312" w:hAnsi="仿宋" w:eastAsia="仿宋_GB2312" w:cs="宋体"/>
                <w:sz w:val="24"/>
              </w:rPr>
              <w:t>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ascii="仿宋_GB2312" w:hAnsi="仿宋" w:eastAsia="仿宋_GB2312" w:cs="Times New Roman"/>
                <w:sz w:val="24"/>
              </w:rPr>
            </w:pPr>
            <w:r>
              <w:rPr>
                <w:rFonts w:hint="eastAsia" w:ascii="仿宋_GB2312" w:hAnsi="仿宋" w:eastAsia="仿宋_GB2312" w:cs="宋体"/>
                <w:sz w:val="24"/>
              </w:rPr>
              <w:t>一、资产类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Times New Roman"/>
                <w:sz w:val="24"/>
              </w:rPr>
            </w:pPr>
            <w:r>
              <w:rPr>
                <w:rFonts w:hint="eastAsia" w:ascii="仿宋_GB2312" w:hAnsi="仿宋" w:eastAsia="仿宋_GB2312" w:cs="宋体"/>
                <w:sz w:val="24"/>
              </w:rPr>
              <w:t>１</w:t>
            </w:r>
          </w:p>
        </w:tc>
        <w:tc>
          <w:tcPr>
            <w:tcW w:w="659" w:type="pct"/>
            <w:gridSpan w:val="2"/>
          </w:tcPr>
          <w:p>
            <w:pPr>
              <w:rPr>
                <w:rFonts w:ascii="仿宋_GB2312" w:hAnsi="仿宋" w:eastAsia="仿宋_GB2312" w:cs="宋体"/>
                <w:sz w:val="24"/>
              </w:rPr>
            </w:pPr>
            <w:r>
              <w:rPr>
                <w:rFonts w:ascii="仿宋_GB2312" w:hAnsi="仿宋" w:eastAsia="仿宋_GB2312" w:cs="宋体"/>
                <w:sz w:val="24"/>
              </w:rPr>
              <w:t>1001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库存现金</w:t>
            </w:r>
          </w:p>
        </w:tc>
        <w:tc>
          <w:tcPr>
            <w:tcW w:w="485" w:type="pct"/>
          </w:tcPr>
          <w:p>
            <w:pPr>
              <w:rPr>
                <w:rFonts w:ascii="仿宋_GB2312" w:hAnsi="仿宋" w:eastAsia="仿宋_GB2312" w:cs="宋体"/>
                <w:sz w:val="24"/>
              </w:rPr>
            </w:pPr>
            <w:r>
              <w:rPr>
                <w:rFonts w:ascii="仿宋_GB2312" w:hAnsi="仿宋" w:eastAsia="仿宋_GB2312" w:cs="宋体"/>
                <w:sz w:val="24"/>
              </w:rPr>
              <w:t>1001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库存现金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Times New Roman"/>
                <w:sz w:val="24"/>
              </w:rPr>
            </w:pPr>
            <w:r>
              <w:rPr>
                <w:rFonts w:hint="eastAsia" w:ascii="仿宋_GB2312" w:hAnsi="仿宋" w:eastAsia="仿宋_GB2312" w:cs="宋体"/>
                <w:sz w:val="24"/>
              </w:rPr>
              <w:t>２</w:t>
            </w:r>
          </w:p>
        </w:tc>
        <w:tc>
          <w:tcPr>
            <w:tcW w:w="659" w:type="pct"/>
            <w:gridSpan w:val="2"/>
          </w:tcPr>
          <w:p>
            <w:pPr>
              <w:rPr>
                <w:rFonts w:ascii="仿宋_GB2312" w:hAnsi="仿宋" w:eastAsia="仿宋_GB2312" w:cs="宋体"/>
                <w:sz w:val="24"/>
              </w:rPr>
            </w:pPr>
            <w:r>
              <w:rPr>
                <w:rFonts w:ascii="仿宋_GB2312" w:hAnsi="仿宋" w:eastAsia="仿宋_GB2312" w:cs="宋体"/>
                <w:sz w:val="24"/>
              </w:rPr>
              <w:t>1002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银行存款</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1002</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银行存款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w:t>
            </w:r>
          </w:p>
        </w:tc>
        <w:tc>
          <w:tcPr>
            <w:tcW w:w="659" w:type="pct"/>
            <w:gridSpan w:val="2"/>
          </w:tcPr>
          <w:p>
            <w:pPr>
              <w:rPr>
                <w:rFonts w:ascii="仿宋_GB2312" w:hAnsi="仿宋" w:eastAsia="仿宋_GB2312" w:cs="宋体"/>
                <w:sz w:val="24"/>
              </w:rPr>
            </w:pPr>
            <w:r>
              <w:rPr>
                <w:rFonts w:ascii="仿宋_GB2312" w:hAnsi="仿宋" w:eastAsia="仿宋_GB2312" w:cs="宋体"/>
                <w:sz w:val="24"/>
              </w:rPr>
              <w:t>1021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其他货币资金</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w:t>
            </w:r>
          </w:p>
        </w:tc>
        <w:tc>
          <w:tcPr>
            <w:tcW w:w="659" w:type="pct"/>
            <w:gridSpan w:val="2"/>
          </w:tcPr>
          <w:p>
            <w:pPr>
              <w:rPr>
                <w:rFonts w:ascii="仿宋_GB2312" w:hAnsi="仿宋" w:eastAsia="仿宋_GB2312" w:cs="宋体"/>
                <w:sz w:val="24"/>
              </w:rPr>
            </w:pPr>
            <w:r>
              <w:rPr>
                <w:rFonts w:ascii="仿宋_GB2312" w:hAnsi="仿宋" w:eastAsia="仿宋_GB2312" w:cs="宋体"/>
                <w:sz w:val="24"/>
              </w:rPr>
              <w:t>1101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短期投资</w:t>
            </w:r>
          </w:p>
        </w:tc>
        <w:tc>
          <w:tcPr>
            <w:tcW w:w="485" w:type="pct"/>
          </w:tcPr>
          <w:p>
            <w:pPr>
              <w:rPr>
                <w:rFonts w:ascii="仿宋_GB2312" w:hAnsi="仿宋" w:eastAsia="仿宋_GB2312" w:cs="宋体"/>
                <w:sz w:val="24"/>
              </w:rPr>
            </w:pPr>
            <w:r>
              <w:rPr>
                <w:rFonts w:ascii="仿宋_GB2312" w:hAnsi="仿宋" w:eastAsia="仿宋_GB2312" w:cs="宋体"/>
                <w:sz w:val="24"/>
              </w:rPr>
              <w:t>1101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短期投资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tabs>
                <w:tab w:val="center" w:pos="4153"/>
                <w:tab w:val="right" w:pos="8306"/>
              </w:tabs>
              <w:snapToGrid w:val="0"/>
              <w:jc w:val="center"/>
              <w:rPr>
                <w:rFonts w:ascii="仿宋_GB2312" w:hAnsi="仿宋" w:eastAsia="仿宋_GB2312" w:cs="Times New Roman"/>
                <w:sz w:val="24"/>
              </w:rPr>
            </w:pPr>
            <w:r>
              <w:rPr>
                <w:rFonts w:ascii="仿宋_GB2312" w:hAnsi="仿宋" w:eastAsia="仿宋_GB2312" w:cs="宋体"/>
                <w:sz w:val="24"/>
              </w:rPr>
              <w:t>5</w:t>
            </w:r>
          </w:p>
        </w:tc>
        <w:tc>
          <w:tcPr>
            <w:tcW w:w="659" w:type="pct"/>
            <w:gridSpan w:val="2"/>
            <w:vAlign w:val="center"/>
          </w:tcPr>
          <w:p>
            <w:pPr>
              <w:tabs>
                <w:tab w:val="center" w:pos="4153"/>
                <w:tab w:val="right" w:pos="8306"/>
              </w:tabs>
              <w:snapToGrid w:val="0"/>
              <w:rPr>
                <w:rFonts w:ascii="仿宋_GB2312" w:hAnsi="仿宋" w:eastAsia="仿宋_GB2312" w:cs="宋体"/>
                <w:sz w:val="24"/>
              </w:rPr>
            </w:pPr>
            <w:r>
              <w:rPr>
                <w:rFonts w:ascii="仿宋_GB2312" w:hAnsi="仿宋" w:eastAsia="仿宋_GB2312" w:cs="宋体"/>
                <w:sz w:val="24"/>
              </w:rPr>
              <w:t>1201</w:t>
            </w:r>
          </w:p>
        </w:tc>
        <w:tc>
          <w:tcPr>
            <w:tcW w:w="1805" w:type="pct"/>
            <w:gridSpan w:val="2"/>
            <w:vAlign w:val="center"/>
          </w:tcPr>
          <w:p>
            <w:pPr>
              <w:tabs>
                <w:tab w:val="center" w:pos="4153"/>
                <w:tab w:val="right" w:pos="8306"/>
              </w:tabs>
              <w:snapToGrid w:val="0"/>
              <w:rPr>
                <w:rFonts w:ascii="仿宋_GB2312" w:hAnsi="仿宋" w:eastAsia="仿宋_GB2312" w:cs="Times New Roman"/>
                <w:sz w:val="24"/>
              </w:rPr>
            </w:pPr>
            <w:r>
              <w:rPr>
                <w:rFonts w:hint="eastAsia" w:ascii="仿宋_GB2312" w:hAnsi="仿宋" w:eastAsia="仿宋_GB2312" w:cs="宋体"/>
                <w:sz w:val="24"/>
              </w:rPr>
              <w:t>财政应返还额度</w:t>
            </w:r>
          </w:p>
        </w:tc>
        <w:tc>
          <w:tcPr>
            <w:tcW w:w="485" w:type="pct"/>
          </w:tcPr>
          <w:p>
            <w:pPr>
              <w:tabs>
                <w:tab w:val="center" w:pos="4153"/>
                <w:tab w:val="right" w:pos="8306"/>
              </w:tabs>
              <w:snapToGrid w:val="0"/>
              <w:rPr>
                <w:rFonts w:ascii="仿宋_GB2312" w:hAnsi="仿宋" w:eastAsia="仿宋_GB2312" w:cs="宋体"/>
                <w:sz w:val="24"/>
              </w:rPr>
            </w:pPr>
            <w:r>
              <w:rPr>
                <w:rFonts w:ascii="仿宋_GB2312" w:hAnsi="仿宋" w:eastAsia="仿宋_GB2312" w:cs="宋体"/>
                <w:sz w:val="24"/>
              </w:rPr>
              <w:t>1201</w:t>
            </w:r>
          </w:p>
        </w:tc>
        <w:tc>
          <w:tcPr>
            <w:tcW w:w="1623" w:type="pct"/>
          </w:tcPr>
          <w:p>
            <w:pPr>
              <w:tabs>
                <w:tab w:val="center" w:pos="4153"/>
                <w:tab w:val="right" w:pos="8306"/>
              </w:tabs>
              <w:snapToGrid w:val="0"/>
              <w:rPr>
                <w:rFonts w:ascii="仿宋_GB2312" w:hAnsi="仿宋" w:eastAsia="仿宋_GB2312" w:cs="Times New Roman"/>
                <w:sz w:val="24"/>
              </w:rPr>
            </w:pPr>
            <w:r>
              <w:rPr>
                <w:rFonts w:hint="eastAsia" w:ascii="仿宋_GB2312" w:hAnsi="仿宋" w:eastAsia="仿宋_GB2312" w:cs="宋体"/>
                <w:sz w:val="24"/>
              </w:rPr>
              <w:t>财政应返还额度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Times New Roman"/>
                <w:sz w:val="24"/>
              </w:rPr>
            </w:pPr>
            <w:r>
              <w:rPr>
                <w:rFonts w:ascii="仿宋_GB2312" w:hAnsi="仿宋" w:eastAsia="仿宋_GB2312" w:cs="宋体"/>
                <w:sz w:val="24"/>
              </w:rPr>
              <w:t>6</w:t>
            </w:r>
          </w:p>
        </w:tc>
        <w:tc>
          <w:tcPr>
            <w:tcW w:w="659" w:type="pct"/>
            <w:gridSpan w:val="2"/>
            <w:vAlign w:val="center"/>
          </w:tcPr>
          <w:p>
            <w:pPr>
              <w:rPr>
                <w:rFonts w:ascii="仿宋_GB2312" w:hAnsi="仿宋" w:eastAsia="仿宋_GB2312" w:cs="宋体"/>
                <w:sz w:val="24"/>
              </w:rPr>
            </w:pPr>
            <w:r>
              <w:rPr>
                <w:rFonts w:ascii="仿宋_GB2312" w:hAnsi="仿宋" w:eastAsia="仿宋_GB2312" w:cs="宋体"/>
                <w:sz w:val="24"/>
              </w:rPr>
              <w:t>1211</w:t>
            </w:r>
          </w:p>
        </w:tc>
        <w:tc>
          <w:tcPr>
            <w:tcW w:w="1805" w:type="pct"/>
            <w:gridSpan w:val="2"/>
            <w:vAlign w:val="center"/>
          </w:tcPr>
          <w:p>
            <w:pPr>
              <w:rPr>
                <w:rFonts w:ascii="仿宋_GB2312" w:hAnsi="仿宋" w:eastAsia="仿宋_GB2312" w:cs="Times New Roman"/>
                <w:sz w:val="24"/>
              </w:rPr>
            </w:pPr>
            <w:r>
              <w:rPr>
                <w:rFonts w:hint="eastAsia" w:ascii="仿宋_GB2312" w:hAnsi="仿宋" w:eastAsia="仿宋_GB2312" w:cs="宋体"/>
                <w:sz w:val="24"/>
              </w:rPr>
              <w:t>应收票据</w:t>
            </w:r>
          </w:p>
        </w:tc>
        <w:tc>
          <w:tcPr>
            <w:tcW w:w="485" w:type="pct"/>
          </w:tcPr>
          <w:p>
            <w:pPr>
              <w:rPr>
                <w:rFonts w:ascii="仿宋_GB2312" w:hAnsi="仿宋" w:eastAsia="仿宋_GB2312" w:cs="宋体"/>
                <w:sz w:val="24"/>
              </w:rPr>
            </w:pPr>
            <w:r>
              <w:rPr>
                <w:rFonts w:ascii="仿宋_GB2312" w:hAnsi="仿宋" w:eastAsia="仿宋_GB2312" w:cs="宋体"/>
                <w:sz w:val="24"/>
              </w:rPr>
              <w:t>1211</w:t>
            </w:r>
          </w:p>
        </w:tc>
        <w:tc>
          <w:tcPr>
            <w:tcW w:w="1623" w:type="pct"/>
          </w:tcPr>
          <w:p>
            <w:pPr>
              <w:rPr>
                <w:rFonts w:ascii="仿宋_GB2312" w:hAnsi="仿宋" w:eastAsia="仿宋_GB2312" w:cs="宋体"/>
                <w:sz w:val="24"/>
              </w:rPr>
            </w:pPr>
            <w:r>
              <w:rPr>
                <w:rFonts w:hint="eastAsia" w:ascii="仿宋_GB2312" w:hAnsi="仿宋" w:eastAsia="仿宋_GB2312" w:cs="宋体"/>
                <w:sz w:val="24"/>
              </w:rPr>
              <w:t>应收票据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7</w:t>
            </w:r>
          </w:p>
        </w:tc>
        <w:tc>
          <w:tcPr>
            <w:tcW w:w="659" w:type="pct"/>
            <w:gridSpan w:val="2"/>
            <w:vAlign w:val="center"/>
          </w:tcPr>
          <w:p>
            <w:pPr>
              <w:rPr>
                <w:rFonts w:ascii="仿宋_GB2312" w:hAnsi="仿宋" w:eastAsia="仿宋_GB2312" w:cs="宋体"/>
                <w:sz w:val="24"/>
              </w:rPr>
            </w:pPr>
            <w:r>
              <w:rPr>
                <w:rFonts w:ascii="仿宋_GB2312" w:hAnsi="仿宋" w:eastAsia="仿宋_GB2312" w:cs="宋体"/>
                <w:sz w:val="24"/>
              </w:rPr>
              <w:t>1212</w:t>
            </w:r>
          </w:p>
        </w:tc>
        <w:tc>
          <w:tcPr>
            <w:tcW w:w="1805" w:type="pct"/>
            <w:gridSpan w:val="2"/>
            <w:vAlign w:val="center"/>
          </w:tcPr>
          <w:p>
            <w:pPr>
              <w:rPr>
                <w:rFonts w:ascii="仿宋_GB2312" w:hAnsi="仿宋" w:eastAsia="仿宋_GB2312" w:cs="宋体"/>
                <w:sz w:val="24"/>
              </w:rPr>
            </w:pPr>
            <w:r>
              <w:rPr>
                <w:rFonts w:hint="eastAsia" w:ascii="仿宋_GB2312" w:hAnsi="仿宋" w:eastAsia="仿宋_GB2312" w:cs="宋体"/>
                <w:sz w:val="24"/>
              </w:rPr>
              <w:t>应收账款</w:t>
            </w:r>
          </w:p>
        </w:tc>
        <w:tc>
          <w:tcPr>
            <w:tcW w:w="485" w:type="pct"/>
          </w:tcPr>
          <w:p>
            <w:pPr>
              <w:rPr>
                <w:rFonts w:ascii="仿宋_GB2312" w:hAnsi="仿宋" w:eastAsia="仿宋_GB2312" w:cs="宋体"/>
                <w:sz w:val="24"/>
              </w:rPr>
            </w:pPr>
            <w:r>
              <w:rPr>
                <w:rFonts w:ascii="仿宋_GB2312" w:hAnsi="仿宋" w:eastAsia="仿宋_GB2312" w:cs="宋体"/>
                <w:sz w:val="24"/>
              </w:rPr>
              <w:t>1212</w:t>
            </w:r>
          </w:p>
        </w:tc>
        <w:tc>
          <w:tcPr>
            <w:tcW w:w="1623" w:type="pct"/>
          </w:tcPr>
          <w:p>
            <w:pPr>
              <w:rPr>
                <w:rFonts w:ascii="仿宋_GB2312" w:hAnsi="仿宋" w:eastAsia="仿宋_GB2312" w:cs="宋体"/>
                <w:sz w:val="24"/>
              </w:rPr>
            </w:pPr>
            <w:r>
              <w:rPr>
                <w:rFonts w:hint="eastAsia" w:ascii="仿宋_GB2312" w:hAnsi="仿宋" w:eastAsia="仿宋_GB2312" w:cs="宋体"/>
                <w:sz w:val="24"/>
              </w:rPr>
              <w:t>应收账款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8</w:t>
            </w:r>
          </w:p>
        </w:tc>
        <w:tc>
          <w:tcPr>
            <w:tcW w:w="659" w:type="pct"/>
            <w:gridSpan w:val="2"/>
          </w:tcPr>
          <w:p>
            <w:pPr>
              <w:rPr>
                <w:rFonts w:ascii="仿宋_GB2312" w:hAnsi="仿宋" w:eastAsia="仿宋_GB2312" w:cs="宋体"/>
                <w:sz w:val="24"/>
              </w:rPr>
            </w:pPr>
            <w:r>
              <w:rPr>
                <w:rFonts w:ascii="仿宋_GB2312" w:hAnsi="仿宋" w:eastAsia="仿宋_GB2312" w:cs="宋体"/>
                <w:sz w:val="24"/>
              </w:rPr>
              <w:t>1214</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预付账款</w:t>
            </w:r>
          </w:p>
        </w:tc>
        <w:tc>
          <w:tcPr>
            <w:tcW w:w="485" w:type="pct"/>
            <w:vMerge w:val="restart"/>
            <w:vAlign w:val="center"/>
          </w:tcPr>
          <w:p>
            <w:pPr>
              <w:jc w:val="left"/>
              <w:rPr>
                <w:rFonts w:ascii="仿宋_GB2312" w:hAnsi="仿宋" w:eastAsia="仿宋_GB2312" w:cs="宋体"/>
                <w:sz w:val="24"/>
              </w:rPr>
            </w:pPr>
            <w:r>
              <w:rPr>
                <w:rFonts w:ascii="仿宋_GB2312" w:hAnsi="仿宋" w:eastAsia="仿宋_GB2312" w:cs="宋体"/>
                <w:sz w:val="24"/>
              </w:rPr>
              <w:t>1213</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预付账款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9</w:t>
            </w:r>
          </w:p>
        </w:tc>
        <w:tc>
          <w:tcPr>
            <w:tcW w:w="659" w:type="pct"/>
            <w:gridSpan w:val="2"/>
          </w:tcPr>
          <w:p>
            <w:pPr>
              <w:rPr>
                <w:rFonts w:ascii="仿宋_GB2312" w:hAnsi="仿宋" w:eastAsia="仿宋_GB2312" w:cs="宋体"/>
                <w:sz w:val="24"/>
              </w:rPr>
            </w:pPr>
            <w:r>
              <w:rPr>
                <w:rFonts w:ascii="仿宋_GB2312" w:hAnsi="仿宋" w:eastAsia="仿宋_GB2312" w:cs="宋体"/>
                <w:sz w:val="24"/>
              </w:rPr>
              <w:t>18</w:t>
            </w:r>
            <w:r>
              <w:rPr>
                <w:rFonts w:hint="eastAsia" w:ascii="仿宋_GB2312" w:hAnsi="仿宋" w:eastAsia="仿宋_GB2312" w:cs="宋体"/>
                <w:sz w:val="24"/>
              </w:rPr>
              <w:t>91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受托代理资产</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Times New Roman"/>
                <w:sz w:val="24"/>
              </w:rPr>
            </w:pPr>
            <w:r>
              <w:rPr>
                <w:rFonts w:ascii="仿宋_GB2312" w:hAnsi="仿宋" w:eastAsia="仿宋_GB2312" w:cs="宋体"/>
                <w:sz w:val="24"/>
              </w:rPr>
              <w:t>10</w:t>
            </w:r>
          </w:p>
        </w:tc>
        <w:tc>
          <w:tcPr>
            <w:tcW w:w="659" w:type="pct"/>
            <w:gridSpan w:val="2"/>
          </w:tcPr>
          <w:p>
            <w:pPr>
              <w:rPr>
                <w:rFonts w:ascii="仿宋_GB2312" w:hAnsi="仿宋" w:eastAsia="仿宋_GB2312" w:cs="宋体"/>
                <w:sz w:val="24"/>
              </w:rPr>
            </w:pPr>
            <w:r>
              <w:rPr>
                <w:rFonts w:ascii="仿宋_GB2312" w:hAnsi="仿宋" w:eastAsia="仿宋_GB2312" w:cs="宋体"/>
                <w:sz w:val="24"/>
              </w:rPr>
              <w:t>1218</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其他应收款</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1215</w:t>
            </w:r>
          </w:p>
        </w:tc>
        <w:tc>
          <w:tcPr>
            <w:tcW w:w="1623" w:type="pct"/>
            <w:vMerge w:val="restart"/>
            <w:vAlign w:val="center"/>
          </w:tcPr>
          <w:p>
            <w:pPr>
              <w:rPr>
                <w:rFonts w:ascii="仿宋_GB2312" w:hAnsi="仿宋" w:eastAsia="仿宋_GB2312" w:cs="宋体"/>
                <w:sz w:val="24"/>
              </w:rPr>
            </w:pPr>
            <w:r>
              <w:rPr>
                <w:rFonts w:hint="eastAsia" w:ascii="仿宋_GB2312" w:hAnsi="仿宋" w:eastAsia="仿宋_GB2312" w:cs="宋体"/>
                <w:sz w:val="24"/>
              </w:rPr>
              <w:t>其他应收款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11</w:t>
            </w:r>
          </w:p>
        </w:tc>
        <w:tc>
          <w:tcPr>
            <w:tcW w:w="659" w:type="pct"/>
            <w:gridSpan w:val="2"/>
          </w:tcPr>
          <w:p>
            <w:pPr>
              <w:rPr>
                <w:rFonts w:ascii="仿宋_GB2312" w:hAnsi="仿宋" w:eastAsia="仿宋_GB2312" w:cs="宋体"/>
                <w:sz w:val="24"/>
              </w:rPr>
            </w:pPr>
            <w:r>
              <w:rPr>
                <w:rFonts w:ascii="仿宋_GB2312" w:hAnsi="仿宋" w:eastAsia="仿宋_GB2312" w:cs="宋体"/>
                <w:sz w:val="24"/>
              </w:rPr>
              <w:t>1301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在途物品</w:t>
            </w:r>
          </w:p>
        </w:tc>
        <w:tc>
          <w:tcPr>
            <w:tcW w:w="485" w:type="pct"/>
            <w:vMerge w:val="continue"/>
            <w:vAlign w:val="center"/>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12</w:t>
            </w:r>
          </w:p>
        </w:tc>
        <w:tc>
          <w:tcPr>
            <w:tcW w:w="659" w:type="pct"/>
            <w:gridSpan w:val="2"/>
          </w:tcPr>
          <w:p>
            <w:pPr>
              <w:rPr>
                <w:rFonts w:ascii="仿宋_GB2312" w:hAnsi="仿宋" w:eastAsia="仿宋_GB2312" w:cs="宋体"/>
                <w:sz w:val="24"/>
              </w:rPr>
            </w:pPr>
            <w:r>
              <w:rPr>
                <w:rFonts w:ascii="仿宋_GB2312" w:hAnsi="仿宋" w:eastAsia="仿宋_GB2312" w:cs="宋体"/>
                <w:sz w:val="24"/>
              </w:rPr>
              <w:t>1891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受托代理资产</w:t>
            </w:r>
          </w:p>
        </w:tc>
        <w:tc>
          <w:tcPr>
            <w:tcW w:w="485" w:type="pct"/>
            <w:vMerge w:val="continue"/>
            <w:vAlign w:val="center"/>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13</w:t>
            </w:r>
          </w:p>
        </w:tc>
        <w:tc>
          <w:tcPr>
            <w:tcW w:w="659" w:type="pct"/>
            <w:gridSpan w:val="2"/>
          </w:tcPr>
          <w:p>
            <w:pPr>
              <w:rPr>
                <w:rFonts w:ascii="仿宋_GB2312" w:hAnsi="仿宋" w:eastAsia="仿宋_GB2312" w:cs="宋体"/>
                <w:sz w:val="24"/>
              </w:rPr>
            </w:pPr>
            <w:r>
              <w:rPr>
                <w:rFonts w:ascii="仿宋_GB2312" w:hAnsi="仿宋" w:eastAsia="仿宋_GB2312" w:cs="宋体"/>
                <w:sz w:val="24"/>
              </w:rPr>
              <w:t>1302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库存物品</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1301</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Times New Roman"/>
                <w:sz w:val="24"/>
              </w:rPr>
              <w:t>存货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14</w:t>
            </w:r>
          </w:p>
        </w:tc>
        <w:tc>
          <w:tcPr>
            <w:tcW w:w="659" w:type="pct"/>
            <w:gridSpan w:val="2"/>
          </w:tcPr>
          <w:p>
            <w:pPr>
              <w:rPr>
                <w:rFonts w:ascii="仿宋_GB2312" w:hAnsi="仿宋" w:eastAsia="仿宋_GB2312" w:cs="宋体"/>
                <w:sz w:val="24"/>
              </w:rPr>
            </w:pPr>
            <w:r>
              <w:rPr>
                <w:rFonts w:ascii="仿宋_GB2312" w:hAnsi="仿宋" w:eastAsia="仿宋_GB2312" w:cs="宋体"/>
                <w:sz w:val="24"/>
              </w:rPr>
              <w:t>1303</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加工物品</w:t>
            </w:r>
          </w:p>
        </w:tc>
        <w:tc>
          <w:tcPr>
            <w:tcW w:w="485" w:type="pct"/>
            <w:vMerge w:val="continue"/>
            <w:vAlign w:val="center"/>
          </w:tcPr>
          <w:p>
            <w:pPr>
              <w:rPr>
                <w:rFonts w:ascii="仿宋_GB2312" w:hAnsi="仿宋" w:eastAsia="仿宋_GB2312" w:cs="宋体"/>
                <w:sz w:val="24"/>
              </w:rPr>
            </w:pPr>
          </w:p>
        </w:tc>
        <w:tc>
          <w:tcPr>
            <w:tcW w:w="1623" w:type="pct"/>
            <w:vMerge w:val="continue"/>
            <w:vAlign w:val="center"/>
          </w:tcPr>
          <w:p>
            <w:pPr>
              <w:rPr>
                <w:rFonts w:ascii="仿宋_GB2312" w:hAnsi="仿宋" w:eastAsia="仿宋_GB2312"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15</w:t>
            </w:r>
          </w:p>
        </w:tc>
        <w:tc>
          <w:tcPr>
            <w:tcW w:w="659" w:type="pct"/>
            <w:gridSpan w:val="2"/>
          </w:tcPr>
          <w:p>
            <w:pPr>
              <w:rPr>
                <w:rFonts w:ascii="仿宋_GB2312" w:hAnsi="仿宋" w:eastAsia="仿宋_GB2312" w:cs="宋体"/>
                <w:sz w:val="24"/>
              </w:rPr>
            </w:pPr>
            <w:r>
              <w:rPr>
                <w:rFonts w:ascii="仿宋_GB2312" w:hAnsi="仿宋" w:eastAsia="仿宋_GB2312" w:cs="宋体"/>
                <w:sz w:val="24"/>
              </w:rPr>
              <w:t>1891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受托代理资产</w:t>
            </w:r>
          </w:p>
        </w:tc>
        <w:tc>
          <w:tcPr>
            <w:tcW w:w="485" w:type="pct"/>
            <w:vMerge w:val="continue"/>
            <w:vAlign w:val="center"/>
          </w:tcPr>
          <w:p>
            <w:pPr>
              <w:rPr>
                <w:rFonts w:ascii="仿宋_GB2312" w:hAnsi="仿宋" w:eastAsia="仿宋_GB2312" w:cs="宋体"/>
                <w:sz w:val="24"/>
              </w:rPr>
            </w:pPr>
          </w:p>
        </w:tc>
        <w:tc>
          <w:tcPr>
            <w:tcW w:w="1623" w:type="pct"/>
            <w:vMerge w:val="continue"/>
            <w:vAlign w:val="center"/>
          </w:tcPr>
          <w:p>
            <w:pPr>
              <w:rPr>
                <w:rFonts w:ascii="仿宋_GB2312" w:hAnsi="仿宋" w:eastAsia="仿宋_GB2312"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16</w:t>
            </w:r>
          </w:p>
        </w:tc>
        <w:tc>
          <w:tcPr>
            <w:tcW w:w="659" w:type="pct"/>
            <w:gridSpan w:val="2"/>
          </w:tcPr>
          <w:p>
            <w:pPr>
              <w:rPr>
                <w:rFonts w:ascii="仿宋_GB2312" w:hAnsi="仿宋" w:eastAsia="仿宋_GB2312" w:cs="宋体"/>
                <w:sz w:val="24"/>
              </w:rPr>
            </w:pPr>
            <w:r>
              <w:rPr>
                <w:rFonts w:ascii="仿宋_GB2312" w:hAnsi="仿宋" w:eastAsia="仿宋_GB2312" w:cs="宋体"/>
                <w:sz w:val="24"/>
              </w:rPr>
              <w:t>1501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长期股权投资</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1401</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长期投资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17</w:t>
            </w:r>
          </w:p>
        </w:tc>
        <w:tc>
          <w:tcPr>
            <w:tcW w:w="659" w:type="pct"/>
            <w:gridSpan w:val="2"/>
          </w:tcPr>
          <w:p>
            <w:pPr>
              <w:rPr>
                <w:rFonts w:ascii="仿宋_GB2312" w:hAnsi="仿宋" w:eastAsia="仿宋_GB2312" w:cs="宋体"/>
                <w:sz w:val="24"/>
              </w:rPr>
            </w:pPr>
            <w:r>
              <w:rPr>
                <w:rFonts w:ascii="仿宋_GB2312" w:hAnsi="仿宋" w:eastAsia="仿宋_GB2312" w:cs="宋体"/>
                <w:sz w:val="24"/>
              </w:rPr>
              <w:t>1502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长期债券投资</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Times New Roman"/>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18</w:t>
            </w:r>
          </w:p>
        </w:tc>
        <w:tc>
          <w:tcPr>
            <w:tcW w:w="659" w:type="pct"/>
            <w:gridSpan w:val="2"/>
            <w:vAlign w:val="center"/>
          </w:tcPr>
          <w:p>
            <w:pPr>
              <w:rPr>
                <w:rFonts w:ascii="仿宋_GB2312" w:hAnsi="仿宋" w:eastAsia="仿宋_GB2312" w:cs="宋体"/>
                <w:sz w:val="24"/>
              </w:rPr>
            </w:pPr>
            <w:r>
              <w:rPr>
                <w:rFonts w:ascii="仿宋_GB2312" w:hAnsi="仿宋" w:eastAsia="仿宋_GB2312" w:cs="宋体"/>
                <w:sz w:val="24"/>
              </w:rPr>
              <w:t>1601</w:t>
            </w:r>
          </w:p>
        </w:tc>
        <w:tc>
          <w:tcPr>
            <w:tcW w:w="1805" w:type="pct"/>
            <w:gridSpan w:val="2"/>
            <w:vAlign w:val="center"/>
          </w:tcPr>
          <w:p>
            <w:pPr>
              <w:rPr>
                <w:rFonts w:ascii="仿宋_GB2312" w:hAnsi="仿宋" w:eastAsia="仿宋_GB2312" w:cs="Times New Roman"/>
                <w:sz w:val="24"/>
              </w:rPr>
            </w:pPr>
            <w:r>
              <w:rPr>
                <w:rFonts w:hint="eastAsia" w:ascii="仿宋_GB2312" w:hAnsi="仿宋" w:eastAsia="仿宋_GB2312" w:cs="宋体"/>
                <w:sz w:val="24"/>
              </w:rPr>
              <w:t>固定资产</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1501</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固定资产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7" w:type="pct"/>
            <w:vAlign w:val="center"/>
          </w:tcPr>
          <w:p>
            <w:pPr>
              <w:jc w:val="center"/>
              <w:rPr>
                <w:rFonts w:ascii="仿宋_GB2312" w:hAnsi="仿宋" w:eastAsia="仿宋_GB2312" w:cs="宋体"/>
                <w:sz w:val="24"/>
              </w:rPr>
            </w:pPr>
            <w:r>
              <w:rPr>
                <w:rFonts w:ascii="仿宋_GB2312" w:hAnsi="仿宋" w:eastAsia="仿宋_GB2312" w:cs="宋体"/>
                <w:sz w:val="24"/>
              </w:rPr>
              <w:t>19</w:t>
            </w:r>
          </w:p>
        </w:tc>
        <w:tc>
          <w:tcPr>
            <w:tcW w:w="659" w:type="pct"/>
            <w:gridSpan w:val="2"/>
          </w:tcPr>
          <w:p>
            <w:pPr>
              <w:rPr>
                <w:rFonts w:ascii="仿宋_GB2312" w:hAnsi="仿宋" w:eastAsia="仿宋_GB2312" w:cs="宋体"/>
                <w:sz w:val="24"/>
              </w:rPr>
            </w:pPr>
            <w:r>
              <w:rPr>
                <w:rFonts w:ascii="仿宋_GB2312" w:hAnsi="仿宋" w:eastAsia="仿宋_GB2312" w:cs="宋体"/>
                <w:sz w:val="24"/>
              </w:rPr>
              <w:t>1891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受托代理资产</w:t>
            </w:r>
          </w:p>
        </w:tc>
        <w:tc>
          <w:tcPr>
            <w:tcW w:w="485" w:type="pct"/>
            <w:vMerge w:val="continue"/>
            <w:vAlign w:val="center"/>
          </w:tcPr>
          <w:p>
            <w:pPr>
              <w:rPr>
                <w:rFonts w:ascii="仿宋_GB2312" w:hAnsi="仿宋" w:eastAsia="仿宋_GB2312" w:cs="宋体"/>
                <w:sz w:val="24"/>
              </w:rPr>
            </w:pPr>
          </w:p>
        </w:tc>
        <w:tc>
          <w:tcPr>
            <w:tcW w:w="1623" w:type="pct"/>
            <w:vMerge w:val="continue"/>
            <w:vAlign w:val="center"/>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20</w:t>
            </w:r>
          </w:p>
        </w:tc>
        <w:tc>
          <w:tcPr>
            <w:tcW w:w="659" w:type="pct"/>
            <w:gridSpan w:val="2"/>
          </w:tcPr>
          <w:p>
            <w:pPr>
              <w:rPr>
                <w:rFonts w:ascii="仿宋_GB2312" w:hAnsi="仿宋" w:eastAsia="仿宋_GB2312" w:cs="宋体"/>
                <w:sz w:val="24"/>
              </w:rPr>
            </w:pPr>
            <w:r>
              <w:rPr>
                <w:rFonts w:ascii="仿宋_GB2312" w:hAnsi="仿宋" w:eastAsia="仿宋_GB2312" w:cs="宋体"/>
                <w:sz w:val="24"/>
              </w:rPr>
              <w:t>1602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固定资产累计折旧</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1502</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累计折旧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21</w:t>
            </w:r>
          </w:p>
        </w:tc>
        <w:tc>
          <w:tcPr>
            <w:tcW w:w="659" w:type="pct"/>
            <w:gridSpan w:val="2"/>
          </w:tcPr>
          <w:p>
            <w:pPr>
              <w:rPr>
                <w:rFonts w:ascii="仿宋_GB2312" w:hAnsi="仿宋" w:eastAsia="仿宋_GB2312" w:cs="宋体"/>
                <w:sz w:val="24"/>
              </w:rPr>
            </w:pPr>
            <w:r>
              <w:rPr>
                <w:rFonts w:hint="eastAsia" w:ascii="仿宋_GB2312" w:hAnsi="仿宋" w:eastAsia="仿宋_GB2312" w:cs="宋体"/>
                <w:sz w:val="24"/>
              </w:rPr>
              <w:t>3001</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累计盈余</w:t>
            </w:r>
          </w:p>
        </w:tc>
        <w:tc>
          <w:tcPr>
            <w:tcW w:w="485" w:type="pct"/>
            <w:vMerge w:val="continue"/>
            <w:vAlign w:val="center"/>
          </w:tcPr>
          <w:p>
            <w:pPr>
              <w:rPr>
                <w:rFonts w:ascii="仿宋_GB2312" w:hAnsi="仿宋" w:eastAsia="仿宋_GB2312" w:cs="宋体"/>
                <w:sz w:val="24"/>
              </w:rPr>
            </w:pPr>
          </w:p>
        </w:tc>
        <w:tc>
          <w:tcPr>
            <w:tcW w:w="1623" w:type="pct"/>
            <w:vMerge w:val="continue"/>
            <w:vAlign w:val="center"/>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22</w:t>
            </w:r>
          </w:p>
        </w:tc>
        <w:tc>
          <w:tcPr>
            <w:tcW w:w="659" w:type="pct"/>
            <w:gridSpan w:val="2"/>
          </w:tcPr>
          <w:p>
            <w:pPr>
              <w:rPr>
                <w:rFonts w:ascii="仿宋_GB2312" w:hAnsi="仿宋" w:eastAsia="仿宋_GB2312" w:cs="宋体"/>
                <w:sz w:val="24"/>
              </w:rPr>
            </w:pPr>
            <w:r>
              <w:rPr>
                <w:rFonts w:ascii="仿宋_GB2312" w:hAnsi="仿宋" w:eastAsia="仿宋_GB2312" w:cs="宋体"/>
                <w:sz w:val="24"/>
              </w:rPr>
              <w:t>1611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工程物资</w:t>
            </w:r>
          </w:p>
        </w:tc>
        <w:tc>
          <w:tcPr>
            <w:tcW w:w="485" w:type="pct"/>
            <w:vMerge w:val="restart"/>
            <w:vAlign w:val="center"/>
          </w:tcPr>
          <w:p>
            <w:pPr>
              <w:rPr>
                <w:rFonts w:ascii="仿宋_GB2312" w:hAnsi="仿宋" w:eastAsia="仿宋_GB2312" w:cs="Times New Roman"/>
                <w:sz w:val="24"/>
              </w:rPr>
            </w:pPr>
            <w:r>
              <w:rPr>
                <w:rFonts w:ascii="仿宋_GB2312" w:hAnsi="仿宋" w:eastAsia="仿宋_GB2312" w:cs="宋体"/>
                <w:kern w:val="0"/>
                <w:sz w:val="24"/>
              </w:rPr>
              <w:t xml:space="preserve">1511 </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kern w:val="0"/>
                <w:sz w:val="24"/>
              </w:rPr>
              <w:t>在建工程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23</w:t>
            </w:r>
          </w:p>
        </w:tc>
        <w:tc>
          <w:tcPr>
            <w:tcW w:w="659" w:type="pct"/>
            <w:gridSpan w:val="2"/>
          </w:tcPr>
          <w:p>
            <w:pPr>
              <w:rPr>
                <w:rFonts w:ascii="仿宋_GB2312" w:hAnsi="仿宋" w:eastAsia="仿宋_GB2312" w:cs="宋体"/>
                <w:sz w:val="24"/>
              </w:rPr>
            </w:pPr>
            <w:r>
              <w:rPr>
                <w:rFonts w:ascii="仿宋_GB2312" w:hAnsi="仿宋" w:eastAsia="仿宋_GB2312" w:cs="宋体"/>
                <w:sz w:val="24"/>
              </w:rPr>
              <w:t>1613</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在建工程</w:t>
            </w:r>
          </w:p>
        </w:tc>
        <w:tc>
          <w:tcPr>
            <w:tcW w:w="485" w:type="pct"/>
            <w:vMerge w:val="continue"/>
          </w:tcPr>
          <w:p>
            <w:pPr>
              <w:rPr>
                <w:rFonts w:ascii="仿宋_GB2312" w:hAnsi="仿宋" w:eastAsia="仿宋_GB2312" w:cs="Times New Roman"/>
                <w:kern w:val="0"/>
                <w:sz w:val="24"/>
              </w:rPr>
            </w:pPr>
          </w:p>
        </w:tc>
        <w:tc>
          <w:tcPr>
            <w:tcW w:w="1623" w:type="pct"/>
            <w:vMerge w:val="continue"/>
          </w:tcPr>
          <w:p>
            <w:pPr>
              <w:rPr>
                <w:rFonts w:ascii="仿宋_GB2312" w:hAnsi="仿宋" w:eastAsia="仿宋_GB2312" w:cs="Times New Roman"/>
                <w:kern w:val="0"/>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24</w:t>
            </w:r>
          </w:p>
        </w:tc>
        <w:tc>
          <w:tcPr>
            <w:tcW w:w="659" w:type="pct"/>
            <w:gridSpan w:val="2"/>
          </w:tcPr>
          <w:p>
            <w:pPr>
              <w:rPr>
                <w:rFonts w:ascii="仿宋_GB2312" w:hAnsi="仿宋" w:eastAsia="仿宋_GB2312" w:cs="宋体"/>
                <w:sz w:val="24"/>
              </w:rPr>
            </w:pPr>
            <w:r>
              <w:rPr>
                <w:rFonts w:ascii="仿宋_GB2312" w:hAnsi="仿宋" w:eastAsia="仿宋_GB2312" w:cs="宋体"/>
                <w:sz w:val="24"/>
              </w:rPr>
              <w:t>1214</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预付账款</w:t>
            </w:r>
          </w:p>
        </w:tc>
        <w:tc>
          <w:tcPr>
            <w:tcW w:w="485" w:type="pct"/>
            <w:vMerge w:val="continue"/>
          </w:tcPr>
          <w:p>
            <w:pPr>
              <w:rPr>
                <w:rFonts w:ascii="仿宋_GB2312" w:hAnsi="仿宋" w:eastAsia="仿宋_GB2312" w:cs="Times New Roman"/>
                <w:kern w:val="0"/>
                <w:sz w:val="24"/>
              </w:rPr>
            </w:pPr>
          </w:p>
        </w:tc>
        <w:tc>
          <w:tcPr>
            <w:tcW w:w="1623" w:type="pct"/>
            <w:vMerge w:val="continue"/>
          </w:tcPr>
          <w:p>
            <w:pPr>
              <w:rPr>
                <w:rFonts w:ascii="仿宋_GB2312" w:hAnsi="仿宋" w:eastAsia="仿宋_GB2312" w:cs="Times New Roman"/>
                <w:kern w:val="0"/>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25</w:t>
            </w:r>
          </w:p>
        </w:tc>
        <w:tc>
          <w:tcPr>
            <w:tcW w:w="659" w:type="pct"/>
            <w:gridSpan w:val="2"/>
          </w:tcPr>
          <w:p>
            <w:pPr>
              <w:rPr>
                <w:rFonts w:ascii="仿宋_GB2312" w:hAnsi="仿宋" w:eastAsia="仿宋_GB2312" w:cs="宋体"/>
                <w:sz w:val="24"/>
              </w:rPr>
            </w:pPr>
            <w:r>
              <w:rPr>
                <w:rFonts w:ascii="仿宋_GB2312" w:hAnsi="仿宋" w:eastAsia="仿宋_GB2312" w:cs="宋体"/>
                <w:sz w:val="24"/>
              </w:rPr>
              <w:t>1701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无形资产</w:t>
            </w:r>
          </w:p>
        </w:tc>
        <w:tc>
          <w:tcPr>
            <w:tcW w:w="485" w:type="pct"/>
          </w:tcPr>
          <w:p>
            <w:pPr>
              <w:rPr>
                <w:rFonts w:ascii="仿宋_GB2312" w:hAnsi="仿宋" w:eastAsia="仿宋_GB2312" w:cs="宋体"/>
                <w:sz w:val="24"/>
              </w:rPr>
            </w:pPr>
            <w:r>
              <w:rPr>
                <w:rFonts w:ascii="仿宋_GB2312" w:hAnsi="仿宋" w:eastAsia="仿宋_GB2312" w:cs="宋体"/>
                <w:sz w:val="24"/>
              </w:rPr>
              <w:t>1601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无形资产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26</w:t>
            </w:r>
          </w:p>
        </w:tc>
        <w:tc>
          <w:tcPr>
            <w:tcW w:w="659" w:type="pct"/>
            <w:gridSpan w:val="2"/>
          </w:tcPr>
          <w:p>
            <w:pPr>
              <w:rPr>
                <w:rFonts w:ascii="仿宋_GB2312" w:hAnsi="仿宋" w:eastAsia="仿宋_GB2312" w:cs="宋体"/>
                <w:sz w:val="24"/>
              </w:rPr>
            </w:pPr>
            <w:r>
              <w:rPr>
                <w:rFonts w:ascii="仿宋_GB2312" w:hAnsi="仿宋" w:eastAsia="仿宋_GB2312" w:cs="宋体"/>
                <w:sz w:val="24"/>
              </w:rPr>
              <w:t>1702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无形资产累计摊销</w:t>
            </w:r>
          </w:p>
        </w:tc>
        <w:tc>
          <w:tcPr>
            <w:tcW w:w="485" w:type="pct"/>
          </w:tcPr>
          <w:p>
            <w:pPr>
              <w:rPr>
                <w:rFonts w:ascii="仿宋_GB2312" w:hAnsi="仿宋" w:eastAsia="仿宋_GB2312" w:cs="宋体"/>
                <w:sz w:val="24"/>
              </w:rPr>
            </w:pPr>
            <w:r>
              <w:rPr>
                <w:rFonts w:ascii="仿宋_GB2312" w:hAnsi="仿宋" w:eastAsia="仿宋_GB2312" w:cs="宋体"/>
                <w:sz w:val="24"/>
              </w:rPr>
              <w:t>1602</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累计摊销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27</w:t>
            </w:r>
          </w:p>
        </w:tc>
        <w:tc>
          <w:tcPr>
            <w:tcW w:w="659" w:type="pct"/>
            <w:gridSpan w:val="2"/>
          </w:tcPr>
          <w:p>
            <w:pPr>
              <w:rPr>
                <w:rFonts w:ascii="仿宋_GB2312" w:hAnsi="仿宋" w:eastAsia="仿宋_GB2312" w:cs="宋体"/>
                <w:sz w:val="24"/>
              </w:rPr>
            </w:pPr>
            <w:r>
              <w:rPr>
                <w:rFonts w:ascii="仿宋_GB2312" w:hAnsi="仿宋" w:eastAsia="仿宋_GB2312" w:cs="宋体"/>
                <w:sz w:val="24"/>
              </w:rPr>
              <w:t>1902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待处理财产损溢</w:t>
            </w:r>
          </w:p>
        </w:tc>
        <w:tc>
          <w:tcPr>
            <w:tcW w:w="485" w:type="pct"/>
            <w:vAlign w:val="center"/>
          </w:tcPr>
          <w:p>
            <w:pPr>
              <w:rPr>
                <w:rFonts w:ascii="仿宋_GB2312" w:hAnsi="仿宋" w:eastAsia="仿宋_GB2312" w:cs="宋体"/>
                <w:sz w:val="24"/>
              </w:rPr>
            </w:pPr>
            <w:r>
              <w:rPr>
                <w:rFonts w:ascii="仿宋_GB2312" w:hAnsi="仿宋" w:eastAsia="仿宋_GB2312" w:cs="宋体"/>
                <w:sz w:val="24"/>
              </w:rPr>
              <w:t>1701</w:t>
            </w:r>
          </w:p>
        </w:tc>
        <w:tc>
          <w:tcPr>
            <w:tcW w:w="1623" w:type="pct"/>
            <w:vAlign w:val="center"/>
          </w:tcPr>
          <w:p>
            <w:pPr>
              <w:rPr>
                <w:rFonts w:ascii="仿宋_GB2312" w:hAnsi="仿宋" w:eastAsia="仿宋_GB2312" w:cs="Times New Roman"/>
                <w:sz w:val="24"/>
              </w:rPr>
            </w:pPr>
            <w:r>
              <w:rPr>
                <w:rFonts w:hint="eastAsia" w:ascii="仿宋_GB2312" w:hAnsi="仿宋" w:eastAsia="仿宋_GB2312" w:cs="宋体"/>
                <w:sz w:val="24"/>
              </w:rPr>
              <w:t>待处置资产损溢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ascii="仿宋_GB2312" w:hAnsi="仿宋" w:eastAsia="仿宋_GB2312" w:cs="Times New Roman"/>
                <w:sz w:val="24"/>
              </w:rPr>
            </w:pPr>
            <w:r>
              <w:rPr>
                <w:rFonts w:hint="eastAsia" w:ascii="仿宋_GB2312" w:hAnsi="仿宋" w:eastAsia="仿宋_GB2312" w:cs="宋体"/>
                <w:sz w:val="24"/>
              </w:rPr>
              <w:t>二、负债类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28</w:t>
            </w:r>
          </w:p>
        </w:tc>
        <w:tc>
          <w:tcPr>
            <w:tcW w:w="659" w:type="pct"/>
            <w:gridSpan w:val="2"/>
          </w:tcPr>
          <w:p>
            <w:pPr>
              <w:rPr>
                <w:rFonts w:ascii="仿宋_GB2312" w:hAnsi="仿宋" w:eastAsia="仿宋_GB2312" w:cs="宋体"/>
                <w:sz w:val="24"/>
              </w:rPr>
            </w:pPr>
            <w:r>
              <w:rPr>
                <w:rFonts w:ascii="仿宋_GB2312" w:hAnsi="仿宋" w:eastAsia="仿宋_GB2312" w:cs="宋体"/>
                <w:sz w:val="24"/>
              </w:rPr>
              <w:t>2001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短期借款</w:t>
            </w:r>
          </w:p>
        </w:tc>
        <w:tc>
          <w:tcPr>
            <w:tcW w:w="485" w:type="pct"/>
            <w:vAlign w:val="center"/>
          </w:tcPr>
          <w:p>
            <w:pPr>
              <w:rPr>
                <w:rFonts w:ascii="仿宋_GB2312" w:hAnsi="仿宋" w:eastAsia="仿宋_GB2312" w:cs="宋体"/>
                <w:sz w:val="24"/>
              </w:rPr>
            </w:pPr>
            <w:r>
              <w:rPr>
                <w:rFonts w:ascii="仿宋_GB2312" w:hAnsi="仿宋" w:eastAsia="仿宋_GB2312" w:cs="宋体"/>
                <w:sz w:val="24"/>
              </w:rPr>
              <w:t>2001</w:t>
            </w:r>
          </w:p>
        </w:tc>
        <w:tc>
          <w:tcPr>
            <w:tcW w:w="1623" w:type="pct"/>
            <w:vAlign w:val="center"/>
          </w:tcPr>
          <w:p>
            <w:pPr>
              <w:rPr>
                <w:rFonts w:ascii="仿宋_GB2312" w:hAnsi="仿宋" w:eastAsia="仿宋_GB2312" w:cs="Times New Roman"/>
                <w:sz w:val="24"/>
              </w:rPr>
            </w:pPr>
            <w:r>
              <w:rPr>
                <w:rFonts w:hint="eastAsia" w:ascii="仿宋_GB2312" w:hAnsi="仿宋" w:eastAsia="仿宋_GB2312" w:cs="宋体"/>
                <w:sz w:val="24"/>
              </w:rPr>
              <w:t>短期借款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29</w:t>
            </w:r>
          </w:p>
        </w:tc>
        <w:tc>
          <w:tcPr>
            <w:tcW w:w="659" w:type="pct"/>
            <w:gridSpan w:val="2"/>
          </w:tcPr>
          <w:p>
            <w:pPr>
              <w:rPr>
                <w:rFonts w:ascii="仿宋_GB2312" w:hAnsi="仿宋" w:eastAsia="仿宋_GB2312" w:cs="宋体"/>
                <w:sz w:val="24"/>
              </w:rPr>
            </w:pPr>
            <w:r>
              <w:rPr>
                <w:rFonts w:ascii="仿宋_GB2312" w:hAnsi="仿宋" w:eastAsia="仿宋_GB2312" w:cs="宋体"/>
                <w:sz w:val="24"/>
              </w:rPr>
              <w:t>2101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应交增值税</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2101</w:t>
            </w:r>
          </w:p>
        </w:tc>
        <w:tc>
          <w:tcPr>
            <w:tcW w:w="1623" w:type="pct"/>
            <w:vMerge w:val="restart"/>
            <w:vAlign w:val="center"/>
          </w:tcPr>
          <w:p>
            <w:pPr>
              <w:rPr>
                <w:rFonts w:ascii="仿宋_GB2312" w:hAnsi="仿宋" w:eastAsia="仿宋_GB2312" w:cs="宋体"/>
                <w:sz w:val="24"/>
              </w:rPr>
            </w:pPr>
            <w:r>
              <w:rPr>
                <w:rFonts w:hint="eastAsia" w:ascii="仿宋_GB2312" w:hAnsi="仿宋" w:eastAsia="仿宋_GB2312" w:cs="宋体"/>
                <w:sz w:val="24"/>
              </w:rPr>
              <w:t>应缴税费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30</w:t>
            </w:r>
          </w:p>
        </w:tc>
        <w:tc>
          <w:tcPr>
            <w:tcW w:w="659" w:type="pct"/>
            <w:gridSpan w:val="2"/>
          </w:tcPr>
          <w:p>
            <w:pPr>
              <w:rPr>
                <w:rFonts w:ascii="仿宋_GB2312" w:hAnsi="仿宋" w:eastAsia="仿宋_GB2312" w:cs="宋体"/>
                <w:sz w:val="24"/>
              </w:rPr>
            </w:pPr>
            <w:r>
              <w:rPr>
                <w:rFonts w:ascii="仿宋_GB2312" w:hAnsi="仿宋" w:eastAsia="仿宋_GB2312" w:cs="宋体"/>
                <w:sz w:val="24"/>
              </w:rPr>
              <w:t>2102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其他应交税费</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31</w:t>
            </w:r>
          </w:p>
        </w:tc>
        <w:tc>
          <w:tcPr>
            <w:tcW w:w="659" w:type="pct"/>
            <w:gridSpan w:val="2"/>
            <w:vMerge w:val="restart"/>
            <w:vAlign w:val="center"/>
          </w:tcPr>
          <w:p>
            <w:pPr>
              <w:rPr>
                <w:rFonts w:ascii="仿宋_GB2312" w:hAnsi="仿宋" w:eastAsia="仿宋_GB2312" w:cs="宋体"/>
                <w:sz w:val="24"/>
              </w:rPr>
            </w:pPr>
            <w:r>
              <w:rPr>
                <w:rFonts w:ascii="仿宋_GB2312" w:hAnsi="仿宋" w:eastAsia="仿宋_GB2312" w:cs="宋体"/>
                <w:sz w:val="24"/>
              </w:rPr>
              <w:t>2103</w:t>
            </w:r>
          </w:p>
        </w:tc>
        <w:tc>
          <w:tcPr>
            <w:tcW w:w="1805" w:type="pct"/>
            <w:gridSpan w:val="2"/>
            <w:vMerge w:val="restart"/>
            <w:vAlign w:val="center"/>
          </w:tcPr>
          <w:p>
            <w:pPr>
              <w:rPr>
                <w:rFonts w:ascii="仿宋_GB2312" w:hAnsi="仿宋" w:eastAsia="仿宋_GB2312" w:cs="Times New Roman"/>
                <w:sz w:val="24"/>
              </w:rPr>
            </w:pPr>
            <w:r>
              <w:rPr>
                <w:rFonts w:hint="eastAsia" w:ascii="仿宋_GB2312" w:hAnsi="仿宋" w:eastAsia="仿宋_GB2312" w:cs="宋体"/>
                <w:sz w:val="24"/>
              </w:rPr>
              <w:t>应缴财政款</w:t>
            </w:r>
          </w:p>
        </w:tc>
        <w:tc>
          <w:tcPr>
            <w:tcW w:w="485" w:type="pct"/>
          </w:tcPr>
          <w:p>
            <w:pPr>
              <w:rPr>
                <w:rFonts w:ascii="仿宋_GB2312" w:hAnsi="仿宋" w:eastAsia="仿宋_GB2312" w:cs="宋体"/>
                <w:sz w:val="24"/>
              </w:rPr>
            </w:pPr>
            <w:r>
              <w:rPr>
                <w:rFonts w:ascii="仿宋_GB2312" w:hAnsi="仿宋" w:eastAsia="仿宋_GB2312" w:cs="宋体"/>
                <w:sz w:val="24"/>
              </w:rPr>
              <w:t>2102</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应缴国库款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32</w:t>
            </w:r>
          </w:p>
        </w:tc>
        <w:tc>
          <w:tcPr>
            <w:tcW w:w="659" w:type="pct"/>
            <w:gridSpan w:val="2"/>
            <w:vMerge w:val="continue"/>
          </w:tcPr>
          <w:p>
            <w:pPr>
              <w:rPr>
                <w:rFonts w:ascii="仿宋_GB2312" w:hAnsi="仿宋" w:eastAsia="仿宋_GB2312" w:cs="宋体"/>
                <w:sz w:val="24"/>
              </w:rPr>
            </w:pPr>
          </w:p>
        </w:tc>
        <w:tc>
          <w:tcPr>
            <w:tcW w:w="1805" w:type="pct"/>
            <w:gridSpan w:val="2"/>
            <w:vMerge w:val="continue"/>
          </w:tcPr>
          <w:p>
            <w:pPr>
              <w:rPr>
                <w:rFonts w:ascii="仿宋_GB2312" w:hAnsi="仿宋" w:eastAsia="仿宋_GB2312" w:cs="Times New Roman"/>
                <w:sz w:val="24"/>
              </w:rPr>
            </w:pPr>
          </w:p>
        </w:tc>
        <w:tc>
          <w:tcPr>
            <w:tcW w:w="485" w:type="pct"/>
          </w:tcPr>
          <w:p>
            <w:pPr>
              <w:rPr>
                <w:rFonts w:ascii="仿宋_GB2312" w:hAnsi="仿宋" w:eastAsia="仿宋_GB2312" w:cs="宋体"/>
                <w:sz w:val="24"/>
              </w:rPr>
            </w:pPr>
            <w:r>
              <w:rPr>
                <w:rFonts w:ascii="仿宋_GB2312" w:hAnsi="仿宋" w:eastAsia="仿宋_GB2312" w:cs="宋体"/>
                <w:sz w:val="24"/>
              </w:rPr>
              <w:t>2103</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应缴财政专户款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33</w:t>
            </w:r>
          </w:p>
        </w:tc>
        <w:tc>
          <w:tcPr>
            <w:tcW w:w="659" w:type="pct"/>
            <w:gridSpan w:val="2"/>
          </w:tcPr>
          <w:p>
            <w:pPr>
              <w:rPr>
                <w:rFonts w:ascii="仿宋_GB2312" w:hAnsi="仿宋" w:eastAsia="仿宋_GB2312" w:cs="宋体"/>
                <w:sz w:val="24"/>
              </w:rPr>
            </w:pPr>
            <w:r>
              <w:rPr>
                <w:rFonts w:ascii="仿宋_GB2312" w:hAnsi="仿宋" w:eastAsia="仿宋_GB2312" w:cs="宋体"/>
                <w:sz w:val="24"/>
              </w:rPr>
              <w:t>2201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应付职工薪酬</w:t>
            </w:r>
          </w:p>
        </w:tc>
        <w:tc>
          <w:tcPr>
            <w:tcW w:w="485" w:type="pct"/>
          </w:tcPr>
          <w:p>
            <w:pPr>
              <w:rPr>
                <w:rFonts w:ascii="仿宋_GB2312" w:hAnsi="仿宋" w:eastAsia="仿宋_GB2312" w:cs="宋体"/>
                <w:sz w:val="24"/>
              </w:rPr>
            </w:pPr>
            <w:r>
              <w:rPr>
                <w:rFonts w:ascii="仿宋_GB2312" w:hAnsi="仿宋" w:eastAsia="仿宋_GB2312" w:cs="宋体"/>
                <w:sz w:val="24"/>
              </w:rPr>
              <w:t>2201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应付职工薪酬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34</w:t>
            </w:r>
          </w:p>
        </w:tc>
        <w:tc>
          <w:tcPr>
            <w:tcW w:w="659" w:type="pct"/>
            <w:gridSpan w:val="2"/>
          </w:tcPr>
          <w:p>
            <w:pPr>
              <w:rPr>
                <w:rFonts w:ascii="仿宋_GB2312" w:hAnsi="仿宋" w:eastAsia="仿宋_GB2312" w:cs="宋体"/>
                <w:sz w:val="24"/>
              </w:rPr>
            </w:pPr>
            <w:r>
              <w:rPr>
                <w:rFonts w:ascii="仿宋_GB2312" w:hAnsi="仿宋" w:eastAsia="仿宋_GB2312" w:cs="宋体"/>
                <w:sz w:val="24"/>
              </w:rPr>
              <w:t>2301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应付票据</w:t>
            </w:r>
          </w:p>
        </w:tc>
        <w:tc>
          <w:tcPr>
            <w:tcW w:w="485" w:type="pct"/>
          </w:tcPr>
          <w:p>
            <w:pPr>
              <w:rPr>
                <w:rFonts w:ascii="仿宋_GB2312" w:hAnsi="仿宋" w:eastAsia="仿宋_GB2312" w:cs="宋体"/>
                <w:sz w:val="24"/>
              </w:rPr>
            </w:pPr>
            <w:r>
              <w:rPr>
                <w:rFonts w:ascii="仿宋_GB2312" w:hAnsi="仿宋" w:eastAsia="仿宋_GB2312" w:cs="宋体"/>
                <w:sz w:val="24"/>
              </w:rPr>
              <w:t>2301</w:t>
            </w:r>
          </w:p>
        </w:tc>
        <w:tc>
          <w:tcPr>
            <w:tcW w:w="1623" w:type="pct"/>
          </w:tcPr>
          <w:p>
            <w:pPr>
              <w:rPr>
                <w:rFonts w:ascii="仿宋_GB2312" w:hAnsi="仿宋" w:eastAsia="仿宋_GB2312" w:cs="Times New Roman"/>
                <w:sz w:val="24"/>
              </w:rPr>
            </w:pPr>
            <w:r>
              <w:rPr>
                <w:rFonts w:hint="eastAsia" w:ascii="仿宋_GB2312" w:hAnsi="仿宋" w:eastAsia="仿宋_GB2312" w:cs="Times New Roman"/>
                <w:sz w:val="24"/>
              </w:rPr>
              <w:t>应付票据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35</w:t>
            </w:r>
          </w:p>
        </w:tc>
        <w:tc>
          <w:tcPr>
            <w:tcW w:w="659" w:type="pct"/>
            <w:gridSpan w:val="2"/>
          </w:tcPr>
          <w:p>
            <w:pPr>
              <w:rPr>
                <w:rFonts w:ascii="仿宋_GB2312" w:hAnsi="仿宋" w:eastAsia="仿宋_GB2312" w:cs="宋体"/>
                <w:sz w:val="24"/>
              </w:rPr>
            </w:pPr>
            <w:r>
              <w:rPr>
                <w:rFonts w:ascii="仿宋_GB2312" w:hAnsi="仿宋" w:eastAsia="仿宋_GB2312" w:cs="宋体"/>
                <w:sz w:val="24"/>
              </w:rPr>
              <w:t>2302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应付账款</w:t>
            </w:r>
          </w:p>
        </w:tc>
        <w:tc>
          <w:tcPr>
            <w:tcW w:w="485" w:type="pct"/>
          </w:tcPr>
          <w:p>
            <w:pPr>
              <w:rPr>
                <w:rFonts w:ascii="仿宋_GB2312" w:hAnsi="仿宋" w:eastAsia="仿宋_GB2312" w:cs="宋体"/>
                <w:sz w:val="24"/>
              </w:rPr>
            </w:pPr>
            <w:r>
              <w:rPr>
                <w:rFonts w:ascii="仿宋_GB2312" w:hAnsi="仿宋" w:eastAsia="仿宋_GB2312" w:cs="宋体"/>
                <w:sz w:val="24"/>
              </w:rPr>
              <w:t>2302</w:t>
            </w:r>
          </w:p>
        </w:tc>
        <w:tc>
          <w:tcPr>
            <w:tcW w:w="1623" w:type="pct"/>
          </w:tcPr>
          <w:p>
            <w:pPr>
              <w:rPr>
                <w:rFonts w:ascii="仿宋_GB2312" w:hAnsi="仿宋" w:eastAsia="仿宋_GB2312" w:cs="Times New Roman"/>
                <w:sz w:val="24"/>
              </w:rPr>
            </w:pPr>
            <w:r>
              <w:rPr>
                <w:rFonts w:hint="eastAsia" w:ascii="仿宋_GB2312" w:hAnsi="仿宋" w:eastAsia="仿宋_GB2312" w:cs="Times New Roman"/>
                <w:sz w:val="24"/>
              </w:rPr>
              <w:t>应付账款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36</w:t>
            </w:r>
          </w:p>
        </w:tc>
        <w:tc>
          <w:tcPr>
            <w:tcW w:w="659" w:type="pct"/>
            <w:gridSpan w:val="2"/>
          </w:tcPr>
          <w:p>
            <w:pPr>
              <w:rPr>
                <w:rFonts w:ascii="仿宋_GB2312" w:hAnsi="仿宋" w:eastAsia="仿宋_GB2312" w:cs="宋体"/>
                <w:sz w:val="24"/>
              </w:rPr>
            </w:pPr>
            <w:r>
              <w:rPr>
                <w:rFonts w:ascii="仿宋_GB2312" w:hAnsi="仿宋" w:eastAsia="仿宋_GB2312" w:cs="宋体"/>
                <w:sz w:val="24"/>
              </w:rPr>
              <w:t>2305</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预收账款</w:t>
            </w:r>
          </w:p>
        </w:tc>
        <w:tc>
          <w:tcPr>
            <w:tcW w:w="485" w:type="pct"/>
          </w:tcPr>
          <w:p>
            <w:pPr>
              <w:rPr>
                <w:rFonts w:ascii="仿宋_GB2312" w:hAnsi="仿宋" w:eastAsia="仿宋_GB2312" w:cs="宋体"/>
                <w:sz w:val="24"/>
              </w:rPr>
            </w:pPr>
            <w:r>
              <w:rPr>
                <w:rFonts w:ascii="仿宋_GB2312" w:hAnsi="仿宋" w:eastAsia="仿宋_GB2312" w:cs="宋体"/>
                <w:sz w:val="24"/>
              </w:rPr>
              <w:t>2303</w:t>
            </w:r>
          </w:p>
        </w:tc>
        <w:tc>
          <w:tcPr>
            <w:tcW w:w="1623" w:type="pct"/>
          </w:tcPr>
          <w:p>
            <w:pPr>
              <w:rPr>
                <w:rFonts w:ascii="仿宋_GB2312" w:hAnsi="仿宋" w:eastAsia="仿宋_GB2312" w:cs="Times New Roman"/>
                <w:sz w:val="24"/>
              </w:rPr>
            </w:pPr>
            <w:r>
              <w:rPr>
                <w:rFonts w:hint="eastAsia" w:ascii="仿宋_GB2312" w:hAnsi="仿宋" w:eastAsia="仿宋_GB2312" w:cs="Times New Roman"/>
                <w:sz w:val="24"/>
              </w:rPr>
              <w:t>预收账款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37</w:t>
            </w:r>
          </w:p>
        </w:tc>
        <w:tc>
          <w:tcPr>
            <w:tcW w:w="659" w:type="pct"/>
            <w:gridSpan w:val="2"/>
          </w:tcPr>
          <w:p>
            <w:pPr>
              <w:rPr>
                <w:rFonts w:ascii="仿宋_GB2312" w:hAnsi="仿宋" w:eastAsia="仿宋_GB2312" w:cs="宋体"/>
                <w:sz w:val="24"/>
              </w:rPr>
            </w:pPr>
            <w:r>
              <w:rPr>
                <w:rFonts w:ascii="仿宋_GB2312" w:hAnsi="仿宋" w:eastAsia="仿宋_GB2312" w:cs="宋体"/>
                <w:sz w:val="24"/>
              </w:rPr>
              <w:t>2307</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其他应付款</w:t>
            </w:r>
          </w:p>
        </w:tc>
        <w:tc>
          <w:tcPr>
            <w:tcW w:w="485" w:type="pct"/>
            <w:vMerge w:val="restart"/>
            <w:vAlign w:val="center"/>
          </w:tcPr>
          <w:p>
            <w:pPr>
              <w:rPr>
                <w:rFonts w:ascii="仿宋_GB2312" w:hAnsi="仿宋" w:eastAsia="仿宋_GB2312" w:cs="宋体"/>
                <w:sz w:val="24"/>
              </w:rPr>
            </w:pPr>
            <w:r>
              <w:rPr>
                <w:rFonts w:ascii="仿宋_GB2312" w:hAnsi="仿宋" w:eastAsia="仿宋_GB2312" w:cs="宋体"/>
                <w:sz w:val="24"/>
              </w:rPr>
              <w:t>2305</w:t>
            </w:r>
          </w:p>
        </w:tc>
        <w:tc>
          <w:tcPr>
            <w:tcW w:w="1623" w:type="pct"/>
            <w:vMerge w:val="restart"/>
            <w:vAlign w:val="center"/>
          </w:tcPr>
          <w:p>
            <w:pPr>
              <w:rPr>
                <w:rFonts w:ascii="仿宋_GB2312" w:hAnsi="仿宋" w:eastAsia="仿宋_GB2312" w:cs="Times New Roman"/>
                <w:sz w:val="24"/>
              </w:rPr>
            </w:pPr>
            <w:r>
              <w:rPr>
                <w:rFonts w:hint="eastAsia" w:ascii="仿宋_GB2312" w:hAnsi="仿宋" w:eastAsia="仿宋_GB2312" w:cs="宋体"/>
                <w:sz w:val="24"/>
              </w:rPr>
              <w:t>其他应付款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7" w:type="pct"/>
            <w:vMerge w:val="restart"/>
            <w:vAlign w:val="center"/>
          </w:tcPr>
          <w:p>
            <w:pPr>
              <w:jc w:val="center"/>
              <w:rPr>
                <w:rFonts w:ascii="仿宋_GB2312" w:hAnsi="仿宋" w:eastAsia="仿宋_GB2312" w:cs="宋体"/>
                <w:sz w:val="24"/>
              </w:rPr>
            </w:pPr>
            <w:r>
              <w:rPr>
                <w:rFonts w:ascii="仿宋_GB2312" w:hAnsi="仿宋" w:eastAsia="仿宋_GB2312" w:cs="宋体"/>
                <w:sz w:val="24"/>
              </w:rPr>
              <w:t>38</w:t>
            </w:r>
          </w:p>
        </w:tc>
        <w:tc>
          <w:tcPr>
            <w:tcW w:w="659" w:type="pct"/>
            <w:gridSpan w:val="2"/>
            <w:vMerge w:val="restart"/>
            <w:vAlign w:val="center"/>
          </w:tcPr>
          <w:p>
            <w:pPr>
              <w:rPr>
                <w:rFonts w:ascii="仿宋_GB2312" w:hAnsi="仿宋" w:eastAsia="仿宋_GB2312" w:cs="宋体"/>
                <w:sz w:val="24"/>
              </w:rPr>
            </w:pPr>
            <w:r>
              <w:rPr>
                <w:rFonts w:ascii="仿宋_GB2312" w:hAnsi="仿宋" w:eastAsia="仿宋_GB2312" w:cs="宋体"/>
                <w:sz w:val="24"/>
              </w:rPr>
              <w:t>2901</w:t>
            </w:r>
          </w:p>
        </w:tc>
        <w:tc>
          <w:tcPr>
            <w:tcW w:w="1805" w:type="pct"/>
            <w:gridSpan w:val="2"/>
            <w:vMerge w:val="restart"/>
            <w:vAlign w:val="center"/>
          </w:tcPr>
          <w:p>
            <w:pPr>
              <w:rPr>
                <w:rFonts w:ascii="仿宋_GB2312" w:hAnsi="仿宋" w:eastAsia="仿宋_GB2312" w:cs="Times New Roman"/>
                <w:sz w:val="24"/>
              </w:rPr>
            </w:pPr>
            <w:r>
              <w:rPr>
                <w:rFonts w:hint="eastAsia" w:ascii="仿宋_GB2312" w:hAnsi="仿宋" w:eastAsia="仿宋_GB2312" w:cs="宋体"/>
                <w:sz w:val="24"/>
              </w:rPr>
              <w:t>受托代理负债</w:t>
            </w:r>
          </w:p>
        </w:tc>
        <w:tc>
          <w:tcPr>
            <w:tcW w:w="485" w:type="pct"/>
            <w:vMerge w:val="continue"/>
            <w:vAlign w:val="center"/>
          </w:tcPr>
          <w:p>
            <w:pPr>
              <w:rPr>
                <w:rFonts w:ascii="仿宋_GB2312" w:hAnsi="仿宋" w:eastAsia="仿宋_GB2312" w:cs="宋体"/>
                <w:sz w:val="24"/>
              </w:rPr>
            </w:pPr>
          </w:p>
        </w:tc>
        <w:tc>
          <w:tcPr>
            <w:tcW w:w="1623" w:type="pct"/>
            <w:vMerge w:val="continue"/>
            <w:vAlign w:val="center"/>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Merge w:val="continue"/>
            <w:vAlign w:val="center"/>
          </w:tcPr>
          <w:p>
            <w:pPr>
              <w:jc w:val="center"/>
              <w:rPr>
                <w:rFonts w:ascii="仿宋_GB2312" w:hAnsi="仿宋" w:eastAsia="仿宋_GB2312" w:cs="宋体"/>
                <w:sz w:val="24"/>
              </w:rPr>
            </w:pPr>
          </w:p>
        </w:tc>
        <w:tc>
          <w:tcPr>
            <w:tcW w:w="659" w:type="pct"/>
            <w:gridSpan w:val="2"/>
            <w:vMerge w:val="continue"/>
          </w:tcPr>
          <w:p>
            <w:pPr>
              <w:rPr>
                <w:rFonts w:ascii="仿宋_GB2312" w:hAnsi="仿宋" w:eastAsia="仿宋_GB2312" w:cs="宋体"/>
                <w:sz w:val="24"/>
              </w:rPr>
            </w:pPr>
          </w:p>
        </w:tc>
        <w:tc>
          <w:tcPr>
            <w:tcW w:w="1805" w:type="pct"/>
            <w:gridSpan w:val="2"/>
            <w:vMerge w:val="continue"/>
          </w:tcPr>
          <w:p>
            <w:pPr>
              <w:rPr>
                <w:rFonts w:ascii="仿宋_GB2312" w:hAnsi="仿宋" w:eastAsia="仿宋_GB2312" w:cs="宋体"/>
                <w:sz w:val="24"/>
              </w:rPr>
            </w:pPr>
          </w:p>
        </w:tc>
        <w:tc>
          <w:tcPr>
            <w:tcW w:w="485" w:type="pct"/>
            <w:vAlign w:val="center"/>
          </w:tcPr>
          <w:p>
            <w:pPr>
              <w:rPr>
                <w:rFonts w:ascii="仿宋_GB2312" w:hAnsi="仿宋" w:eastAsia="仿宋_GB2312" w:cs="宋体"/>
                <w:sz w:val="24"/>
              </w:rPr>
            </w:pPr>
            <w:r>
              <w:rPr>
                <w:rFonts w:ascii="仿宋_GB2312" w:hAnsi="仿宋" w:eastAsia="仿宋_GB2312" w:cs="宋体"/>
                <w:sz w:val="24"/>
              </w:rPr>
              <w:t>3101</w:t>
            </w:r>
          </w:p>
        </w:tc>
        <w:tc>
          <w:tcPr>
            <w:tcW w:w="1623" w:type="pct"/>
            <w:vAlign w:val="center"/>
          </w:tcPr>
          <w:p>
            <w:pPr>
              <w:rPr>
                <w:rFonts w:ascii="仿宋_GB2312" w:hAnsi="仿宋" w:eastAsia="仿宋_GB2312" w:cs="宋体"/>
                <w:sz w:val="24"/>
              </w:rPr>
            </w:pPr>
            <w:r>
              <w:rPr>
                <w:rFonts w:hint="eastAsia" w:ascii="仿宋_GB2312" w:hAnsi="仿宋" w:eastAsia="仿宋_GB2312" w:cs="宋体"/>
                <w:sz w:val="24"/>
              </w:rPr>
              <w:t>非流动资产基金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39</w:t>
            </w:r>
          </w:p>
        </w:tc>
        <w:tc>
          <w:tcPr>
            <w:tcW w:w="659" w:type="pct"/>
            <w:gridSpan w:val="2"/>
          </w:tcPr>
          <w:p>
            <w:pPr>
              <w:rPr>
                <w:rFonts w:ascii="仿宋_GB2312" w:hAnsi="仿宋" w:eastAsia="仿宋_GB2312" w:cs="宋体"/>
                <w:sz w:val="24"/>
              </w:rPr>
            </w:pPr>
            <w:r>
              <w:rPr>
                <w:rFonts w:ascii="仿宋_GB2312" w:hAnsi="仿宋" w:eastAsia="仿宋_GB2312" w:cs="宋体"/>
                <w:sz w:val="24"/>
              </w:rPr>
              <w:t>2501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长期借款</w:t>
            </w:r>
          </w:p>
        </w:tc>
        <w:tc>
          <w:tcPr>
            <w:tcW w:w="485" w:type="pct"/>
            <w:vAlign w:val="center"/>
          </w:tcPr>
          <w:p>
            <w:pPr>
              <w:rPr>
                <w:rFonts w:ascii="仿宋_GB2312" w:hAnsi="仿宋" w:eastAsia="仿宋_GB2312" w:cs="宋体"/>
                <w:sz w:val="24"/>
              </w:rPr>
            </w:pPr>
            <w:r>
              <w:rPr>
                <w:rFonts w:ascii="仿宋_GB2312" w:hAnsi="仿宋" w:eastAsia="仿宋_GB2312" w:cs="宋体"/>
                <w:sz w:val="24"/>
              </w:rPr>
              <w:t>2401</w:t>
            </w:r>
          </w:p>
        </w:tc>
        <w:tc>
          <w:tcPr>
            <w:tcW w:w="1623" w:type="pct"/>
            <w:vAlign w:val="center"/>
          </w:tcPr>
          <w:p>
            <w:pPr>
              <w:rPr>
                <w:rFonts w:ascii="仿宋_GB2312" w:hAnsi="仿宋" w:eastAsia="仿宋_GB2312" w:cs="Times New Roman"/>
                <w:sz w:val="24"/>
              </w:rPr>
            </w:pPr>
            <w:r>
              <w:rPr>
                <w:rFonts w:hint="eastAsia" w:ascii="仿宋_GB2312" w:hAnsi="仿宋" w:eastAsia="仿宋_GB2312" w:cs="宋体"/>
                <w:sz w:val="24"/>
              </w:rPr>
              <w:t>长期借款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40</w:t>
            </w:r>
          </w:p>
        </w:tc>
        <w:tc>
          <w:tcPr>
            <w:tcW w:w="659" w:type="pct"/>
            <w:gridSpan w:val="2"/>
          </w:tcPr>
          <w:p>
            <w:pPr>
              <w:rPr>
                <w:rFonts w:ascii="仿宋_GB2312" w:hAnsi="仿宋" w:eastAsia="仿宋_GB2312" w:cs="宋体"/>
                <w:sz w:val="24"/>
              </w:rPr>
            </w:pPr>
            <w:r>
              <w:rPr>
                <w:rFonts w:ascii="仿宋_GB2312" w:hAnsi="仿宋" w:eastAsia="仿宋_GB2312" w:cs="宋体"/>
                <w:sz w:val="24"/>
              </w:rPr>
              <w:t>2502</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长期应付款</w:t>
            </w:r>
          </w:p>
        </w:tc>
        <w:tc>
          <w:tcPr>
            <w:tcW w:w="485" w:type="pct"/>
          </w:tcPr>
          <w:p>
            <w:pPr>
              <w:rPr>
                <w:rFonts w:ascii="仿宋_GB2312" w:hAnsi="仿宋" w:eastAsia="仿宋_GB2312" w:cs="宋体"/>
                <w:sz w:val="24"/>
              </w:rPr>
            </w:pPr>
            <w:r>
              <w:rPr>
                <w:rFonts w:ascii="仿宋_GB2312" w:hAnsi="仿宋" w:eastAsia="仿宋_GB2312" w:cs="宋体"/>
                <w:sz w:val="24"/>
              </w:rPr>
              <w:t>2402</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长期应付款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41</w:t>
            </w:r>
          </w:p>
        </w:tc>
        <w:tc>
          <w:tcPr>
            <w:tcW w:w="659" w:type="pct"/>
            <w:gridSpan w:val="2"/>
          </w:tcPr>
          <w:p>
            <w:pPr>
              <w:rPr>
                <w:rFonts w:ascii="仿宋_GB2312" w:hAnsi="仿宋" w:eastAsia="仿宋_GB2312" w:cs="宋体"/>
                <w:sz w:val="24"/>
              </w:rPr>
            </w:pPr>
            <w:r>
              <w:rPr>
                <w:rFonts w:ascii="仿宋_GB2312" w:hAnsi="仿宋" w:eastAsia="仿宋_GB2312" w:cs="宋体"/>
                <w:sz w:val="24"/>
              </w:rPr>
              <w:t>2901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受托代理负债</w:t>
            </w:r>
          </w:p>
        </w:tc>
        <w:tc>
          <w:tcPr>
            <w:tcW w:w="485" w:type="pct"/>
            <w:vMerge w:val="restart"/>
            <w:vAlign w:val="center"/>
          </w:tcPr>
          <w:p>
            <w:pPr>
              <w:jc w:val="left"/>
              <w:rPr>
                <w:rFonts w:ascii="仿宋_GB2312" w:hAnsi="仿宋" w:eastAsia="仿宋_GB2312" w:cs="宋体"/>
                <w:sz w:val="24"/>
              </w:rPr>
            </w:pPr>
            <w:r>
              <w:rPr>
                <w:rFonts w:ascii="仿宋_GB2312" w:hAnsi="仿宋" w:eastAsia="仿宋_GB2312" w:cs="宋体"/>
                <w:sz w:val="24"/>
              </w:rPr>
              <w:t>2501</w:t>
            </w:r>
          </w:p>
        </w:tc>
        <w:tc>
          <w:tcPr>
            <w:tcW w:w="1623" w:type="pct"/>
            <w:vMerge w:val="restart"/>
            <w:vAlign w:val="center"/>
          </w:tcPr>
          <w:p>
            <w:pPr>
              <w:rPr>
                <w:rFonts w:ascii="仿宋_GB2312" w:hAnsi="仿宋" w:eastAsia="仿宋_GB2312" w:cs="宋体"/>
                <w:sz w:val="24"/>
              </w:rPr>
            </w:pPr>
            <w:r>
              <w:rPr>
                <w:rFonts w:hint="eastAsia" w:ascii="仿宋_GB2312" w:hAnsi="仿宋" w:eastAsia="仿宋_GB2312" w:cs="宋体"/>
                <w:sz w:val="24"/>
              </w:rPr>
              <w:t>代管款项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42</w:t>
            </w:r>
          </w:p>
        </w:tc>
        <w:tc>
          <w:tcPr>
            <w:tcW w:w="659" w:type="pct"/>
            <w:gridSpan w:val="2"/>
          </w:tcPr>
          <w:p>
            <w:pPr>
              <w:rPr>
                <w:rFonts w:ascii="仿宋_GB2312" w:hAnsi="仿宋" w:eastAsia="仿宋_GB2312" w:cs="宋体"/>
                <w:sz w:val="24"/>
              </w:rPr>
            </w:pPr>
            <w:r>
              <w:rPr>
                <w:rFonts w:ascii="仿宋_GB2312" w:hAnsi="仿宋" w:eastAsia="仿宋_GB2312" w:cs="宋体"/>
                <w:sz w:val="24"/>
              </w:rPr>
              <w:t>2307</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其他应付款</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43</w:t>
            </w:r>
          </w:p>
        </w:tc>
        <w:tc>
          <w:tcPr>
            <w:tcW w:w="659" w:type="pct"/>
            <w:gridSpan w:val="2"/>
          </w:tcPr>
          <w:p>
            <w:pPr>
              <w:rPr>
                <w:rFonts w:ascii="仿宋_GB2312" w:hAnsi="仿宋" w:eastAsia="仿宋_GB2312" w:cs="宋体"/>
                <w:sz w:val="24"/>
              </w:rPr>
            </w:pPr>
            <w:r>
              <w:rPr>
                <w:rFonts w:ascii="仿宋_GB2312" w:hAnsi="仿宋" w:eastAsia="仿宋_GB2312" w:cs="宋体"/>
                <w:sz w:val="24"/>
              </w:rPr>
              <w:t>2502</w:t>
            </w:r>
          </w:p>
        </w:tc>
        <w:tc>
          <w:tcPr>
            <w:tcW w:w="1805" w:type="pct"/>
            <w:gridSpan w:val="2"/>
          </w:tcPr>
          <w:p>
            <w:pPr>
              <w:rPr>
                <w:rFonts w:ascii="仿宋_GB2312" w:hAnsi="仿宋" w:eastAsia="仿宋_GB2312" w:cs="宋体"/>
                <w:sz w:val="24"/>
              </w:rPr>
            </w:pPr>
            <w:r>
              <w:rPr>
                <w:rFonts w:hint="eastAsia" w:ascii="仿宋_GB2312" w:hAnsi="仿宋" w:eastAsia="仿宋_GB2312" w:cs="宋体"/>
                <w:sz w:val="24"/>
              </w:rPr>
              <w:t>长期应付款</w:t>
            </w:r>
          </w:p>
        </w:tc>
        <w:tc>
          <w:tcPr>
            <w:tcW w:w="485" w:type="pct"/>
            <w:vMerge w:val="continue"/>
          </w:tcPr>
          <w:p>
            <w:pPr>
              <w:rPr>
                <w:rFonts w:ascii="仿宋_GB2312" w:hAnsi="仿宋" w:eastAsia="仿宋_GB2312" w:cs="宋体"/>
                <w:sz w:val="24"/>
              </w:rPr>
            </w:pPr>
          </w:p>
        </w:tc>
        <w:tc>
          <w:tcPr>
            <w:tcW w:w="1623" w:type="pct"/>
            <w:vMerge w:val="continue"/>
          </w:tcPr>
          <w:p>
            <w:pPr>
              <w:rPr>
                <w:rFonts w:ascii="仿宋_GB2312" w:hAnsi="仿宋" w:eastAsia="仿宋_GB2312" w:cs="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ascii="仿宋_GB2312" w:hAnsi="仿宋" w:eastAsia="仿宋_GB2312" w:cs="Times New Roman"/>
                <w:sz w:val="24"/>
              </w:rPr>
            </w:pPr>
            <w:r>
              <w:rPr>
                <w:rFonts w:hint="eastAsia" w:ascii="仿宋_GB2312" w:hAnsi="仿宋" w:eastAsia="仿宋_GB2312" w:cs="宋体"/>
                <w:sz w:val="24"/>
              </w:rPr>
              <w:t>三、净资产类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Times New Roman"/>
                <w:sz w:val="24"/>
              </w:rPr>
            </w:pPr>
            <w:r>
              <w:rPr>
                <w:rFonts w:ascii="仿宋_GB2312" w:hAnsi="仿宋" w:eastAsia="仿宋_GB2312" w:cs="Times New Roman"/>
                <w:sz w:val="24"/>
              </w:rPr>
              <w:t>44</w:t>
            </w:r>
          </w:p>
        </w:tc>
        <w:tc>
          <w:tcPr>
            <w:tcW w:w="659" w:type="pct"/>
            <w:gridSpan w:val="2"/>
            <w:vMerge w:val="restart"/>
            <w:vAlign w:val="center"/>
          </w:tcPr>
          <w:p>
            <w:pPr>
              <w:rPr>
                <w:rFonts w:ascii="仿宋_GB2312" w:hAnsi="仿宋" w:eastAsia="仿宋_GB2312" w:cs="宋体"/>
                <w:sz w:val="24"/>
              </w:rPr>
            </w:pPr>
            <w:r>
              <w:rPr>
                <w:rFonts w:ascii="仿宋_GB2312" w:hAnsi="仿宋" w:eastAsia="仿宋_GB2312" w:cs="宋体"/>
                <w:sz w:val="24"/>
              </w:rPr>
              <w:t>3001</w:t>
            </w:r>
          </w:p>
        </w:tc>
        <w:tc>
          <w:tcPr>
            <w:tcW w:w="1805" w:type="pct"/>
            <w:gridSpan w:val="2"/>
            <w:vMerge w:val="restart"/>
            <w:vAlign w:val="center"/>
          </w:tcPr>
          <w:p>
            <w:pPr>
              <w:rPr>
                <w:rFonts w:ascii="仿宋_GB2312" w:hAnsi="仿宋" w:eastAsia="仿宋_GB2312" w:cs="Times New Roman"/>
                <w:sz w:val="24"/>
              </w:rPr>
            </w:pPr>
            <w:r>
              <w:rPr>
                <w:rFonts w:hint="eastAsia" w:ascii="仿宋_GB2312" w:hAnsi="仿宋" w:eastAsia="仿宋_GB2312" w:cs="宋体"/>
                <w:sz w:val="24"/>
              </w:rPr>
              <w:t>累计盈余</w:t>
            </w:r>
          </w:p>
        </w:tc>
        <w:tc>
          <w:tcPr>
            <w:tcW w:w="485" w:type="pct"/>
          </w:tcPr>
          <w:p>
            <w:pPr>
              <w:rPr>
                <w:rFonts w:ascii="仿宋_GB2312" w:hAnsi="仿宋" w:eastAsia="仿宋_GB2312" w:cs="宋体"/>
                <w:sz w:val="24"/>
              </w:rPr>
            </w:pPr>
            <w:r>
              <w:rPr>
                <w:rFonts w:ascii="仿宋_GB2312" w:hAnsi="仿宋" w:eastAsia="仿宋_GB2312" w:cs="宋体"/>
                <w:sz w:val="24"/>
              </w:rPr>
              <w:t>3001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事业基金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45</w:t>
            </w:r>
          </w:p>
        </w:tc>
        <w:tc>
          <w:tcPr>
            <w:tcW w:w="659" w:type="pct"/>
            <w:gridSpan w:val="2"/>
            <w:vMerge w:val="continue"/>
          </w:tcPr>
          <w:p>
            <w:pPr>
              <w:rPr>
                <w:rFonts w:ascii="仿宋_GB2312" w:hAnsi="仿宋" w:eastAsia="仿宋_GB2312" w:cs="Times New Roman"/>
                <w:sz w:val="24"/>
              </w:rPr>
            </w:pPr>
          </w:p>
        </w:tc>
        <w:tc>
          <w:tcPr>
            <w:tcW w:w="1805" w:type="pct"/>
            <w:gridSpan w:val="2"/>
            <w:vMerge w:val="continue"/>
          </w:tcPr>
          <w:p>
            <w:pPr>
              <w:rPr>
                <w:rFonts w:ascii="仿宋_GB2312" w:hAnsi="仿宋" w:eastAsia="仿宋_GB2312" w:cs="Times New Roman"/>
                <w:sz w:val="24"/>
              </w:rPr>
            </w:pPr>
          </w:p>
        </w:tc>
        <w:tc>
          <w:tcPr>
            <w:tcW w:w="485" w:type="pct"/>
          </w:tcPr>
          <w:p>
            <w:pPr>
              <w:rPr>
                <w:rFonts w:ascii="仿宋_GB2312" w:hAnsi="仿宋" w:eastAsia="仿宋_GB2312" w:cs="宋体"/>
                <w:sz w:val="24"/>
              </w:rPr>
            </w:pPr>
            <w:r>
              <w:rPr>
                <w:rFonts w:ascii="仿宋_GB2312" w:hAnsi="仿宋" w:eastAsia="仿宋_GB2312" w:cs="宋体"/>
                <w:sz w:val="24"/>
              </w:rPr>
              <w:t>3101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非流动资产基金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46</w:t>
            </w:r>
          </w:p>
        </w:tc>
        <w:tc>
          <w:tcPr>
            <w:tcW w:w="659" w:type="pct"/>
            <w:gridSpan w:val="2"/>
          </w:tcPr>
          <w:p>
            <w:pPr>
              <w:rPr>
                <w:rFonts w:ascii="仿宋_GB2312" w:hAnsi="仿宋" w:eastAsia="仿宋_GB2312" w:cs="Times New Roman"/>
                <w:sz w:val="24"/>
              </w:rPr>
            </w:pPr>
            <w:r>
              <w:rPr>
                <w:rFonts w:ascii="仿宋_GB2312" w:hAnsi="仿宋" w:eastAsia="仿宋_GB2312" w:cs="宋体"/>
                <w:sz w:val="24"/>
              </w:rPr>
              <w:t>3</w:t>
            </w:r>
            <w:r>
              <w:rPr>
                <w:rFonts w:hint="eastAsia" w:ascii="仿宋_GB2312" w:hAnsi="仿宋" w:eastAsia="仿宋_GB2312" w:cs="宋体"/>
                <w:sz w:val="24"/>
              </w:rPr>
              <w:t>101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专用基金</w:t>
            </w:r>
          </w:p>
        </w:tc>
        <w:tc>
          <w:tcPr>
            <w:tcW w:w="485" w:type="pct"/>
          </w:tcPr>
          <w:p>
            <w:pPr>
              <w:rPr>
                <w:rFonts w:ascii="仿宋_GB2312" w:hAnsi="仿宋" w:eastAsia="仿宋_GB2312" w:cs="宋体"/>
                <w:sz w:val="24"/>
              </w:rPr>
            </w:pPr>
            <w:r>
              <w:rPr>
                <w:rFonts w:ascii="仿宋_GB2312" w:hAnsi="仿宋" w:eastAsia="仿宋_GB2312" w:cs="宋体"/>
                <w:sz w:val="24"/>
              </w:rPr>
              <w:t>3201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专用基金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47</w:t>
            </w:r>
          </w:p>
        </w:tc>
        <w:tc>
          <w:tcPr>
            <w:tcW w:w="659" w:type="pct"/>
            <w:gridSpan w:val="2"/>
            <w:vMerge w:val="restart"/>
            <w:vAlign w:val="center"/>
          </w:tcPr>
          <w:p>
            <w:pPr>
              <w:rPr>
                <w:rFonts w:ascii="仿宋_GB2312" w:hAnsi="仿宋" w:eastAsia="仿宋_GB2312" w:cs="宋体"/>
                <w:sz w:val="24"/>
              </w:rPr>
            </w:pPr>
            <w:r>
              <w:rPr>
                <w:rFonts w:ascii="仿宋_GB2312" w:hAnsi="仿宋" w:eastAsia="仿宋_GB2312" w:cs="宋体"/>
                <w:sz w:val="24"/>
              </w:rPr>
              <w:t>3001</w:t>
            </w:r>
          </w:p>
        </w:tc>
        <w:tc>
          <w:tcPr>
            <w:tcW w:w="1805" w:type="pct"/>
            <w:gridSpan w:val="2"/>
            <w:vMerge w:val="restart"/>
            <w:vAlign w:val="center"/>
          </w:tcPr>
          <w:p>
            <w:pPr>
              <w:rPr>
                <w:rFonts w:ascii="仿宋_GB2312" w:hAnsi="仿宋" w:eastAsia="仿宋_GB2312" w:cs="Times New Roman"/>
                <w:sz w:val="24"/>
              </w:rPr>
            </w:pPr>
            <w:r>
              <w:rPr>
                <w:rFonts w:hint="eastAsia" w:ascii="仿宋_GB2312" w:hAnsi="仿宋" w:eastAsia="仿宋_GB2312" w:cs="宋体"/>
                <w:sz w:val="24"/>
              </w:rPr>
              <w:t>累计盈余</w:t>
            </w:r>
          </w:p>
        </w:tc>
        <w:tc>
          <w:tcPr>
            <w:tcW w:w="485" w:type="pct"/>
          </w:tcPr>
          <w:p>
            <w:pPr>
              <w:rPr>
                <w:rFonts w:ascii="仿宋_GB2312" w:hAnsi="仿宋" w:eastAsia="仿宋_GB2312" w:cs="宋体"/>
                <w:sz w:val="24"/>
              </w:rPr>
            </w:pPr>
            <w:r>
              <w:rPr>
                <w:rFonts w:ascii="仿宋_GB2312" w:hAnsi="仿宋" w:eastAsia="仿宋_GB2312" w:cs="宋体"/>
                <w:sz w:val="24"/>
              </w:rPr>
              <w:t>3301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48</w:t>
            </w:r>
          </w:p>
        </w:tc>
        <w:tc>
          <w:tcPr>
            <w:tcW w:w="659" w:type="pct"/>
            <w:gridSpan w:val="2"/>
            <w:vMerge w:val="continue"/>
          </w:tcPr>
          <w:p>
            <w:pPr>
              <w:rPr>
                <w:rFonts w:ascii="仿宋_GB2312" w:hAnsi="仿宋" w:eastAsia="仿宋_GB2312" w:cs="Times New Roman"/>
                <w:sz w:val="24"/>
              </w:rPr>
            </w:pPr>
          </w:p>
        </w:tc>
        <w:tc>
          <w:tcPr>
            <w:tcW w:w="1805" w:type="pct"/>
            <w:gridSpan w:val="2"/>
            <w:vMerge w:val="continue"/>
          </w:tcPr>
          <w:p>
            <w:pPr>
              <w:rPr>
                <w:rFonts w:ascii="仿宋_GB2312" w:hAnsi="仿宋" w:eastAsia="仿宋_GB2312" w:cs="Times New Roman"/>
                <w:sz w:val="24"/>
              </w:rPr>
            </w:pPr>
          </w:p>
        </w:tc>
        <w:tc>
          <w:tcPr>
            <w:tcW w:w="485" w:type="pct"/>
          </w:tcPr>
          <w:p>
            <w:pPr>
              <w:rPr>
                <w:rFonts w:ascii="仿宋_GB2312" w:hAnsi="仿宋" w:eastAsia="仿宋_GB2312" w:cs="宋体"/>
                <w:sz w:val="24"/>
              </w:rPr>
            </w:pPr>
            <w:r>
              <w:rPr>
                <w:rFonts w:ascii="仿宋_GB2312" w:hAnsi="仿宋" w:eastAsia="仿宋_GB2312" w:cs="宋体"/>
                <w:sz w:val="24"/>
              </w:rPr>
              <w:t>3302</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财政补助结余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49</w:t>
            </w:r>
          </w:p>
        </w:tc>
        <w:tc>
          <w:tcPr>
            <w:tcW w:w="659" w:type="pct"/>
            <w:gridSpan w:val="2"/>
            <w:vMerge w:val="continue"/>
          </w:tcPr>
          <w:p>
            <w:pPr>
              <w:rPr>
                <w:rFonts w:ascii="仿宋_GB2312" w:hAnsi="仿宋" w:eastAsia="仿宋_GB2312" w:cs="Times New Roman"/>
                <w:sz w:val="24"/>
              </w:rPr>
            </w:pPr>
          </w:p>
        </w:tc>
        <w:tc>
          <w:tcPr>
            <w:tcW w:w="1805" w:type="pct"/>
            <w:gridSpan w:val="2"/>
            <w:vMerge w:val="continue"/>
          </w:tcPr>
          <w:p>
            <w:pPr>
              <w:rPr>
                <w:rFonts w:ascii="仿宋_GB2312" w:hAnsi="仿宋" w:eastAsia="仿宋_GB2312" w:cs="Times New Roman"/>
                <w:sz w:val="24"/>
              </w:rPr>
            </w:pPr>
          </w:p>
        </w:tc>
        <w:tc>
          <w:tcPr>
            <w:tcW w:w="485" w:type="pct"/>
          </w:tcPr>
          <w:p>
            <w:pPr>
              <w:rPr>
                <w:rFonts w:ascii="仿宋_GB2312" w:hAnsi="仿宋" w:eastAsia="仿宋_GB2312" w:cs="宋体"/>
                <w:sz w:val="24"/>
              </w:rPr>
            </w:pPr>
            <w:r>
              <w:rPr>
                <w:rFonts w:ascii="仿宋_GB2312" w:hAnsi="仿宋" w:eastAsia="仿宋_GB2312" w:cs="宋体"/>
                <w:sz w:val="24"/>
              </w:rPr>
              <w:t>3401</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非财政补助结转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jc w:val="center"/>
              <w:rPr>
                <w:rFonts w:ascii="仿宋_GB2312" w:hAnsi="仿宋" w:eastAsia="仿宋_GB2312" w:cs="宋体"/>
                <w:sz w:val="24"/>
              </w:rPr>
            </w:pPr>
            <w:r>
              <w:rPr>
                <w:rFonts w:ascii="仿宋_GB2312" w:hAnsi="仿宋" w:eastAsia="仿宋_GB2312" w:cs="宋体"/>
                <w:sz w:val="24"/>
              </w:rPr>
              <w:t>50</w:t>
            </w:r>
          </w:p>
        </w:tc>
        <w:tc>
          <w:tcPr>
            <w:tcW w:w="659" w:type="pct"/>
            <w:gridSpan w:val="2"/>
          </w:tcPr>
          <w:p>
            <w:pPr>
              <w:rPr>
                <w:rFonts w:ascii="仿宋_GB2312" w:hAnsi="仿宋" w:eastAsia="仿宋_GB2312" w:cs="宋体"/>
                <w:sz w:val="24"/>
              </w:rPr>
            </w:pPr>
            <w:r>
              <w:rPr>
                <w:rFonts w:ascii="仿宋_GB2312" w:hAnsi="仿宋" w:eastAsia="仿宋_GB2312" w:cs="宋体"/>
                <w:sz w:val="24"/>
              </w:rPr>
              <w:t>3001</w:t>
            </w:r>
          </w:p>
        </w:tc>
        <w:tc>
          <w:tcPr>
            <w:tcW w:w="1805" w:type="pct"/>
            <w:gridSpan w:val="2"/>
          </w:tcPr>
          <w:p>
            <w:pPr>
              <w:rPr>
                <w:rFonts w:ascii="仿宋_GB2312" w:hAnsi="仿宋" w:eastAsia="仿宋_GB2312" w:cs="Times New Roman"/>
                <w:sz w:val="24"/>
              </w:rPr>
            </w:pPr>
            <w:r>
              <w:rPr>
                <w:rFonts w:hint="eastAsia" w:ascii="仿宋_GB2312" w:hAnsi="仿宋" w:eastAsia="仿宋_GB2312" w:cs="宋体"/>
                <w:sz w:val="24"/>
              </w:rPr>
              <w:t>累计盈余（借方）</w:t>
            </w:r>
          </w:p>
        </w:tc>
        <w:tc>
          <w:tcPr>
            <w:tcW w:w="485" w:type="pct"/>
          </w:tcPr>
          <w:p>
            <w:pPr>
              <w:rPr>
                <w:rFonts w:ascii="仿宋_GB2312" w:hAnsi="仿宋" w:eastAsia="仿宋_GB2312" w:cs="宋体"/>
                <w:sz w:val="24"/>
              </w:rPr>
            </w:pPr>
            <w:r>
              <w:rPr>
                <w:rFonts w:ascii="仿宋_GB2312" w:hAnsi="仿宋" w:eastAsia="仿宋_GB2312" w:cs="宋体"/>
                <w:sz w:val="24"/>
              </w:rPr>
              <w:t>3403</w:t>
            </w:r>
          </w:p>
        </w:tc>
        <w:tc>
          <w:tcPr>
            <w:tcW w:w="1623" w:type="pct"/>
          </w:tcPr>
          <w:p>
            <w:pPr>
              <w:rPr>
                <w:rFonts w:ascii="仿宋_GB2312" w:hAnsi="仿宋" w:eastAsia="仿宋_GB2312" w:cs="Times New Roman"/>
                <w:sz w:val="24"/>
              </w:rPr>
            </w:pPr>
            <w:r>
              <w:rPr>
                <w:rFonts w:hint="eastAsia" w:ascii="仿宋_GB2312" w:hAnsi="仿宋" w:eastAsia="仿宋_GB2312" w:cs="宋体"/>
                <w:sz w:val="24"/>
              </w:rPr>
              <w:t>经营结余（借方）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ascii="仿宋_GB2312" w:hAnsi="Times New Roman" w:eastAsia="仿宋_GB2312" w:cs="Times New Roman"/>
                <w:sz w:val="24"/>
              </w:rPr>
            </w:pPr>
            <w:r>
              <w:rPr>
                <w:rFonts w:hint="eastAsia" w:ascii="仿宋_GB2312" w:hAnsi="Times New Roman" w:eastAsia="仿宋_GB2312" w:cs="Times New Roman"/>
                <w:sz w:val="24"/>
              </w:rPr>
              <w:t>四、预算结余类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1</w:t>
            </w:r>
          </w:p>
        </w:tc>
        <w:tc>
          <w:tcPr>
            <w:tcW w:w="647" w:type="pct"/>
            <w:gridSpan w:val="2"/>
            <w:vAlign w:val="center"/>
          </w:tcPr>
          <w:p>
            <w:pPr>
              <w:rPr>
                <w:rFonts w:ascii="仿宋_GB2312" w:hAnsi="Times New Roman" w:eastAsia="仿宋_GB2312" w:cs="Times New Roman"/>
                <w:sz w:val="24"/>
              </w:rPr>
            </w:pPr>
            <w:r>
              <w:rPr>
                <w:rFonts w:ascii="仿宋_GB2312" w:hAnsi="Times New Roman" w:eastAsia="仿宋_GB2312" w:cs="Times New Roman"/>
                <w:sz w:val="24"/>
              </w:rPr>
              <w:t>8101</w:t>
            </w:r>
          </w:p>
        </w:tc>
        <w:tc>
          <w:tcPr>
            <w:tcW w:w="1779"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财政拨款结转</w:t>
            </w: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3301</w:t>
            </w:r>
          </w:p>
        </w:tc>
        <w:tc>
          <w:tcPr>
            <w:tcW w:w="1623" w:type="pct"/>
          </w:tcPr>
          <w:p>
            <w:pPr>
              <w:rPr>
                <w:rFonts w:ascii="仿宋_GB2312" w:hAnsi="Times New Roman" w:eastAsia="仿宋_GB2312" w:cs="Times New Roman"/>
                <w:sz w:val="24"/>
              </w:rPr>
            </w:pPr>
            <w:r>
              <w:rPr>
                <w:rFonts w:hint="eastAsia" w:ascii="仿宋_GB2312" w:hAnsi="Times New Roman" w:eastAsia="仿宋_GB2312" w:cs="Times New Roman"/>
                <w:sz w:val="24"/>
              </w:rPr>
              <w:t>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2</w:t>
            </w:r>
          </w:p>
        </w:tc>
        <w:tc>
          <w:tcPr>
            <w:tcW w:w="647" w:type="pct"/>
            <w:gridSpan w:val="2"/>
          </w:tcPr>
          <w:p>
            <w:pPr>
              <w:rPr>
                <w:rFonts w:ascii="仿宋_GB2312" w:hAnsi="Times New Roman" w:eastAsia="仿宋_GB2312" w:cs="Times New Roman"/>
                <w:sz w:val="24"/>
              </w:rPr>
            </w:pPr>
            <w:r>
              <w:rPr>
                <w:rFonts w:ascii="仿宋_GB2312" w:hAnsi="Times New Roman" w:eastAsia="仿宋_GB2312" w:cs="Times New Roman"/>
                <w:sz w:val="24"/>
              </w:rPr>
              <w:t>8102</w:t>
            </w:r>
          </w:p>
        </w:tc>
        <w:tc>
          <w:tcPr>
            <w:tcW w:w="1779" w:type="pct"/>
          </w:tcPr>
          <w:p>
            <w:pPr>
              <w:rPr>
                <w:rFonts w:ascii="仿宋_GB2312" w:hAnsi="Times New Roman" w:eastAsia="仿宋_GB2312" w:cs="Times New Roman"/>
                <w:sz w:val="24"/>
              </w:rPr>
            </w:pPr>
            <w:r>
              <w:rPr>
                <w:rFonts w:hint="eastAsia" w:ascii="仿宋_GB2312" w:hAnsi="Times New Roman" w:eastAsia="仿宋_GB2312" w:cs="Times New Roman"/>
                <w:sz w:val="24"/>
              </w:rPr>
              <w:t>财政拨款结余</w:t>
            </w:r>
          </w:p>
        </w:tc>
        <w:tc>
          <w:tcPr>
            <w:tcW w:w="485" w:type="pct"/>
          </w:tcPr>
          <w:p>
            <w:pPr>
              <w:tabs>
                <w:tab w:val="center" w:pos="4153"/>
                <w:tab w:val="right" w:pos="8306"/>
              </w:tabs>
              <w:snapToGrid w:val="0"/>
              <w:rPr>
                <w:rFonts w:ascii="仿宋_GB2312" w:hAnsi="Times New Roman" w:eastAsia="仿宋_GB2312" w:cs="Times New Roman"/>
                <w:sz w:val="24"/>
              </w:rPr>
            </w:pPr>
            <w:r>
              <w:rPr>
                <w:rFonts w:ascii="仿宋_GB2312" w:hAnsi="Times New Roman" w:eastAsia="仿宋_GB2312" w:cs="Times New Roman"/>
                <w:sz w:val="24"/>
              </w:rPr>
              <w:t>3302</w:t>
            </w:r>
          </w:p>
        </w:tc>
        <w:tc>
          <w:tcPr>
            <w:tcW w:w="1623" w:type="pct"/>
          </w:tcPr>
          <w:p>
            <w:pPr>
              <w:tabs>
                <w:tab w:val="center" w:pos="4153"/>
                <w:tab w:val="right" w:pos="8306"/>
              </w:tabs>
              <w:snapToGrid w:val="0"/>
              <w:rPr>
                <w:rFonts w:ascii="仿宋_GB2312" w:hAnsi="Times New Roman" w:eastAsia="仿宋_GB2312" w:cs="Times New Roman"/>
                <w:sz w:val="24"/>
              </w:rPr>
            </w:pPr>
            <w:r>
              <w:rPr>
                <w:rFonts w:hint="eastAsia" w:ascii="仿宋_GB2312" w:hAnsi="Times New Roman" w:eastAsia="仿宋_GB2312" w:cs="Times New Roman"/>
                <w:sz w:val="24"/>
              </w:rPr>
              <w:t>财政补助结余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3</w:t>
            </w:r>
          </w:p>
        </w:tc>
        <w:tc>
          <w:tcPr>
            <w:tcW w:w="647" w:type="pct"/>
            <w:gridSpan w:val="2"/>
          </w:tcPr>
          <w:p>
            <w:pPr>
              <w:rPr>
                <w:rFonts w:ascii="仿宋_GB2312" w:hAnsi="Times New Roman" w:eastAsia="仿宋_GB2312" w:cs="Times New Roman"/>
                <w:sz w:val="24"/>
              </w:rPr>
            </w:pPr>
            <w:r>
              <w:rPr>
                <w:rFonts w:ascii="仿宋_GB2312" w:hAnsi="Times New Roman" w:eastAsia="仿宋_GB2312" w:cs="Times New Roman"/>
                <w:sz w:val="24"/>
              </w:rPr>
              <w:t>8201</w:t>
            </w:r>
          </w:p>
        </w:tc>
        <w:tc>
          <w:tcPr>
            <w:tcW w:w="1779" w:type="pct"/>
          </w:tcPr>
          <w:p>
            <w:pPr>
              <w:rPr>
                <w:rFonts w:ascii="仿宋_GB2312" w:hAnsi="Times New Roman" w:eastAsia="仿宋_GB2312" w:cs="Times New Roman"/>
                <w:sz w:val="24"/>
              </w:rPr>
            </w:pPr>
            <w:r>
              <w:rPr>
                <w:rFonts w:hint="eastAsia" w:ascii="仿宋_GB2312" w:hAnsi="Times New Roman" w:eastAsia="仿宋_GB2312" w:cs="Times New Roman"/>
                <w:sz w:val="24"/>
              </w:rPr>
              <w:t>非财政拨款结转</w:t>
            </w:r>
          </w:p>
        </w:tc>
        <w:tc>
          <w:tcPr>
            <w:tcW w:w="485" w:type="pct"/>
            <w:vAlign w:val="center"/>
          </w:tcPr>
          <w:p>
            <w:pPr>
              <w:rPr>
                <w:rFonts w:ascii="仿宋_GB2312" w:hAnsi="Times New Roman" w:eastAsia="仿宋_GB2312" w:cs="Times New Roman"/>
                <w:sz w:val="24"/>
              </w:rPr>
            </w:pPr>
            <w:r>
              <w:rPr>
                <w:rFonts w:ascii="仿宋_GB2312" w:hAnsi="Times New Roman" w:eastAsia="仿宋_GB2312" w:cs="Times New Roman"/>
                <w:sz w:val="24"/>
              </w:rPr>
              <w:t>3401</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非财政补助结转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4</w:t>
            </w:r>
          </w:p>
        </w:tc>
        <w:tc>
          <w:tcPr>
            <w:tcW w:w="647" w:type="pct"/>
            <w:gridSpan w:val="2"/>
            <w:vAlign w:val="center"/>
          </w:tcPr>
          <w:p>
            <w:pPr>
              <w:rPr>
                <w:rFonts w:ascii="仿宋_GB2312" w:hAnsi="Times New Roman" w:eastAsia="仿宋_GB2312" w:cs="Times New Roman"/>
                <w:sz w:val="24"/>
              </w:rPr>
            </w:pPr>
            <w:r>
              <w:rPr>
                <w:rFonts w:ascii="仿宋_GB2312" w:hAnsi="Times New Roman" w:eastAsia="仿宋_GB2312" w:cs="Times New Roman"/>
                <w:sz w:val="24"/>
              </w:rPr>
              <w:t>8202</w:t>
            </w:r>
          </w:p>
        </w:tc>
        <w:tc>
          <w:tcPr>
            <w:tcW w:w="1779"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非财政拨款结余</w:t>
            </w: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3001</w:t>
            </w:r>
          </w:p>
        </w:tc>
        <w:tc>
          <w:tcPr>
            <w:tcW w:w="1623" w:type="pct"/>
          </w:tcPr>
          <w:p>
            <w:pPr>
              <w:rPr>
                <w:rFonts w:ascii="仿宋_GB2312" w:hAnsi="Times New Roman" w:eastAsia="仿宋_GB2312" w:cs="Times New Roman"/>
                <w:sz w:val="24"/>
              </w:rPr>
            </w:pPr>
            <w:r>
              <w:rPr>
                <w:rFonts w:hint="eastAsia" w:ascii="仿宋_GB2312" w:hAnsi="Times New Roman" w:eastAsia="仿宋_GB2312" w:cs="Times New Roman"/>
                <w:sz w:val="24"/>
              </w:rPr>
              <w:t>事业基金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5</w:t>
            </w:r>
          </w:p>
        </w:tc>
        <w:tc>
          <w:tcPr>
            <w:tcW w:w="647" w:type="pct"/>
            <w:gridSpan w:val="2"/>
            <w:vAlign w:val="center"/>
          </w:tcPr>
          <w:p>
            <w:pPr>
              <w:rPr>
                <w:rFonts w:ascii="仿宋_GB2312" w:hAnsi="Times New Roman" w:eastAsia="仿宋_GB2312" w:cs="Times New Roman"/>
                <w:sz w:val="24"/>
              </w:rPr>
            </w:pPr>
            <w:r>
              <w:rPr>
                <w:rFonts w:ascii="仿宋_GB2312" w:hAnsi="Times New Roman" w:eastAsia="仿宋_GB2312" w:cs="Times New Roman"/>
                <w:sz w:val="24"/>
              </w:rPr>
              <w:t>8301</w:t>
            </w:r>
          </w:p>
        </w:tc>
        <w:tc>
          <w:tcPr>
            <w:tcW w:w="1779"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专用结余</w:t>
            </w: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3201</w:t>
            </w:r>
          </w:p>
        </w:tc>
        <w:tc>
          <w:tcPr>
            <w:tcW w:w="1623" w:type="pct"/>
          </w:tcPr>
          <w:p>
            <w:pPr>
              <w:rPr>
                <w:rFonts w:ascii="仿宋_GB2312" w:hAnsi="Times New Roman" w:eastAsia="仿宋_GB2312" w:cs="Times New Roman"/>
                <w:sz w:val="24"/>
              </w:rPr>
            </w:pPr>
            <w:r>
              <w:rPr>
                <w:rFonts w:hint="eastAsia" w:ascii="仿宋_GB2312" w:hAnsi="Times New Roman" w:eastAsia="仿宋_GB2312" w:cs="Times New Roman"/>
                <w:sz w:val="24"/>
              </w:rPr>
              <w:t>专用基金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66" w:type="pct"/>
            <w:gridSpan w:val="2"/>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6</w:t>
            </w:r>
          </w:p>
        </w:tc>
        <w:tc>
          <w:tcPr>
            <w:tcW w:w="647" w:type="pct"/>
            <w:gridSpan w:val="2"/>
            <w:vAlign w:val="center"/>
          </w:tcPr>
          <w:p>
            <w:pPr>
              <w:rPr>
                <w:rFonts w:ascii="仿宋_GB2312" w:hAnsi="Times New Roman" w:eastAsia="仿宋_GB2312" w:cs="Times New Roman"/>
                <w:sz w:val="24"/>
              </w:rPr>
            </w:pPr>
            <w:r>
              <w:rPr>
                <w:rFonts w:ascii="仿宋_GB2312" w:hAnsi="Times New Roman" w:eastAsia="仿宋_GB2312" w:cs="Times New Roman"/>
                <w:sz w:val="24"/>
              </w:rPr>
              <w:t>8401</w:t>
            </w:r>
          </w:p>
        </w:tc>
        <w:tc>
          <w:tcPr>
            <w:tcW w:w="1779"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经营结余</w:t>
            </w: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3403</w:t>
            </w:r>
          </w:p>
        </w:tc>
        <w:tc>
          <w:tcPr>
            <w:tcW w:w="1623" w:type="pct"/>
          </w:tcPr>
          <w:p>
            <w:pPr>
              <w:rPr>
                <w:rFonts w:ascii="仿宋_GB2312" w:hAnsi="Times New Roman" w:eastAsia="仿宋_GB2312" w:cs="Times New Roman"/>
                <w:sz w:val="24"/>
              </w:rPr>
            </w:pPr>
            <w:r>
              <w:rPr>
                <w:rFonts w:hint="eastAsia" w:ascii="仿宋_GB2312" w:hAnsi="Times New Roman" w:eastAsia="仿宋_GB2312" w:cs="Times New Roman"/>
                <w:sz w:val="24"/>
              </w:rPr>
              <w:t>经营结余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Merge w:val="restart"/>
            <w:vAlign w:val="center"/>
          </w:tcPr>
          <w:p>
            <w:pPr>
              <w:jc w:val="center"/>
              <w:rPr>
                <w:rFonts w:ascii="仿宋_GB2312" w:hAnsi="Times New Roman" w:eastAsia="仿宋_GB2312" w:cs="Times New Roman"/>
                <w:sz w:val="24"/>
              </w:rPr>
            </w:pPr>
            <w:r>
              <w:rPr>
                <w:rFonts w:ascii="仿宋_GB2312" w:hAnsi="Times New Roman" w:eastAsia="仿宋_GB2312" w:cs="Times New Roman"/>
                <w:sz w:val="24"/>
              </w:rPr>
              <w:t>5</w:t>
            </w:r>
            <w:r>
              <w:rPr>
                <w:rFonts w:hint="eastAsia" w:ascii="仿宋_GB2312" w:hAnsi="Times New Roman" w:eastAsia="仿宋_GB2312" w:cs="Times New Roman"/>
                <w:sz w:val="24"/>
              </w:rPr>
              <w:t>7</w:t>
            </w:r>
          </w:p>
        </w:tc>
        <w:tc>
          <w:tcPr>
            <w:tcW w:w="647" w:type="pct"/>
            <w:gridSpan w:val="2"/>
            <w:vMerge w:val="restart"/>
            <w:vAlign w:val="center"/>
          </w:tcPr>
          <w:p>
            <w:pPr>
              <w:rPr>
                <w:rFonts w:ascii="仿宋_GB2312" w:hAnsi="Times New Roman" w:eastAsia="仿宋_GB2312" w:cs="Times New Roman"/>
                <w:sz w:val="24"/>
              </w:rPr>
            </w:pPr>
            <w:r>
              <w:rPr>
                <w:rFonts w:ascii="仿宋_GB2312" w:hAnsi="Times New Roman" w:eastAsia="仿宋_GB2312" w:cs="Times New Roman"/>
                <w:sz w:val="24"/>
              </w:rPr>
              <w:t>8001</w:t>
            </w:r>
          </w:p>
        </w:tc>
        <w:tc>
          <w:tcPr>
            <w:tcW w:w="1779" w:type="pct"/>
            <w:vMerge w:val="restar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资金结存（借方）</w:t>
            </w: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3301</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Merge w:val="continue"/>
            <w:vAlign w:val="center"/>
          </w:tcPr>
          <w:p>
            <w:pPr>
              <w:jc w:val="center"/>
              <w:rPr>
                <w:rFonts w:ascii="仿宋_GB2312" w:hAnsi="Times New Roman" w:eastAsia="仿宋_GB2312" w:cs="Times New Roman"/>
                <w:sz w:val="24"/>
              </w:rPr>
            </w:pPr>
          </w:p>
        </w:tc>
        <w:tc>
          <w:tcPr>
            <w:tcW w:w="647" w:type="pct"/>
            <w:gridSpan w:val="2"/>
            <w:vMerge w:val="continue"/>
            <w:vAlign w:val="center"/>
          </w:tcPr>
          <w:p>
            <w:pPr>
              <w:rPr>
                <w:rFonts w:ascii="仿宋_GB2312" w:hAnsi="Times New Roman" w:eastAsia="仿宋_GB2312" w:cs="Times New Roman"/>
                <w:sz w:val="24"/>
              </w:rPr>
            </w:pPr>
          </w:p>
        </w:tc>
        <w:tc>
          <w:tcPr>
            <w:tcW w:w="1779" w:type="pct"/>
            <w:vMerge w:val="continue"/>
            <w:vAlign w:val="center"/>
          </w:tcPr>
          <w:p>
            <w:pPr>
              <w:rPr>
                <w:rFonts w:ascii="仿宋_GB2312" w:hAnsi="Times New Roman" w:eastAsia="仿宋_GB2312" w:cs="Times New Roman"/>
                <w:sz w:val="24"/>
              </w:rPr>
            </w:pP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3302</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财政补助结余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Merge w:val="continue"/>
            <w:vAlign w:val="center"/>
          </w:tcPr>
          <w:p>
            <w:pPr>
              <w:jc w:val="center"/>
              <w:rPr>
                <w:rFonts w:ascii="仿宋_GB2312" w:hAnsi="Times New Roman" w:eastAsia="仿宋_GB2312" w:cs="Times New Roman"/>
                <w:sz w:val="24"/>
              </w:rPr>
            </w:pPr>
          </w:p>
        </w:tc>
        <w:tc>
          <w:tcPr>
            <w:tcW w:w="647" w:type="pct"/>
            <w:gridSpan w:val="2"/>
            <w:vMerge w:val="continue"/>
            <w:vAlign w:val="center"/>
          </w:tcPr>
          <w:p>
            <w:pPr>
              <w:rPr>
                <w:rFonts w:ascii="仿宋_GB2312" w:hAnsi="Times New Roman" w:eastAsia="仿宋_GB2312" w:cs="Times New Roman"/>
                <w:sz w:val="24"/>
              </w:rPr>
            </w:pPr>
          </w:p>
        </w:tc>
        <w:tc>
          <w:tcPr>
            <w:tcW w:w="1779" w:type="pct"/>
            <w:vMerge w:val="continue"/>
            <w:vAlign w:val="center"/>
          </w:tcPr>
          <w:p>
            <w:pPr>
              <w:rPr>
                <w:rFonts w:ascii="仿宋_GB2312" w:hAnsi="Times New Roman" w:eastAsia="仿宋_GB2312" w:cs="Times New Roman"/>
                <w:sz w:val="24"/>
              </w:rPr>
            </w:pPr>
          </w:p>
        </w:tc>
        <w:tc>
          <w:tcPr>
            <w:tcW w:w="485" w:type="pct"/>
          </w:tcPr>
          <w:p>
            <w:pPr>
              <w:rPr>
                <w:rFonts w:ascii="仿宋_GB2312" w:hAnsi="Times New Roman" w:eastAsia="仿宋_GB2312" w:cs="Times New Roman"/>
                <w:sz w:val="24"/>
              </w:rPr>
            </w:pPr>
            <w:r>
              <w:rPr>
                <w:rFonts w:ascii="仿宋_GB2312" w:hAnsi="Times New Roman" w:eastAsia="仿宋_GB2312" w:cs="Times New Roman"/>
                <w:sz w:val="24"/>
              </w:rPr>
              <w:t>3401</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非财政补助结转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Merge w:val="continue"/>
            <w:vAlign w:val="center"/>
          </w:tcPr>
          <w:p>
            <w:pPr>
              <w:jc w:val="center"/>
              <w:rPr>
                <w:rFonts w:ascii="仿宋_GB2312" w:hAnsi="Times New Roman" w:eastAsia="仿宋_GB2312" w:cs="Times New Roman"/>
                <w:sz w:val="24"/>
              </w:rPr>
            </w:pPr>
          </w:p>
        </w:tc>
        <w:tc>
          <w:tcPr>
            <w:tcW w:w="647" w:type="pct"/>
            <w:gridSpan w:val="2"/>
            <w:vMerge w:val="continue"/>
            <w:vAlign w:val="center"/>
          </w:tcPr>
          <w:p>
            <w:pPr>
              <w:rPr>
                <w:rFonts w:ascii="仿宋_GB2312" w:hAnsi="Times New Roman" w:eastAsia="仿宋_GB2312" w:cs="Times New Roman"/>
                <w:sz w:val="24"/>
              </w:rPr>
            </w:pPr>
          </w:p>
        </w:tc>
        <w:tc>
          <w:tcPr>
            <w:tcW w:w="1779" w:type="pct"/>
            <w:vMerge w:val="continue"/>
            <w:vAlign w:val="center"/>
          </w:tcPr>
          <w:p>
            <w:pPr>
              <w:rPr>
                <w:rFonts w:ascii="仿宋_GB2312" w:hAnsi="Times New Roman" w:eastAsia="仿宋_GB2312" w:cs="Times New Roman"/>
                <w:sz w:val="24"/>
              </w:rPr>
            </w:pPr>
          </w:p>
        </w:tc>
        <w:tc>
          <w:tcPr>
            <w:tcW w:w="485" w:type="pct"/>
          </w:tcPr>
          <w:p>
            <w:pPr>
              <w:jc w:val="left"/>
              <w:rPr>
                <w:rFonts w:ascii="仿宋_GB2312" w:hAnsi="Times New Roman" w:eastAsia="仿宋_GB2312" w:cs="Times New Roman"/>
                <w:sz w:val="24"/>
              </w:rPr>
            </w:pPr>
            <w:r>
              <w:rPr>
                <w:rFonts w:ascii="仿宋_GB2312" w:hAnsi="Times New Roman" w:eastAsia="仿宋_GB2312" w:cs="Times New Roman"/>
                <w:sz w:val="24"/>
              </w:rPr>
              <w:t>3001</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事业基金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gridSpan w:val="2"/>
            <w:vMerge w:val="continue"/>
            <w:vAlign w:val="center"/>
          </w:tcPr>
          <w:p>
            <w:pPr>
              <w:jc w:val="center"/>
              <w:rPr>
                <w:rFonts w:ascii="仿宋_GB2312" w:hAnsi="Times New Roman" w:eastAsia="仿宋_GB2312" w:cs="Times New Roman"/>
                <w:sz w:val="24"/>
              </w:rPr>
            </w:pPr>
          </w:p>
        </w:tc>
        <w:tc>
          <w:tcPr>
            <w:tcW w:w="647" w:type="pct"/>
            <w:gridSpan w:val="2"/>
            <w:vMerge w:val="continue"/>
            <w:vAlign w:val="center"/>
          </w:tcPr>
          <w:p>
            <w:pPr>
              <w:rPr>
                <w:rFonts w:ascii="仿宋_GB2312" w:hAnsi="Times New Roman" w:eastAsia="仿宋_GB2312" w:cs="Times New Roman"/>
                <w:sz w:val="24"/>
              </w:rPr>
            </w:pPr>
          </w:p>
        </w:tc>
        <w:tc>
          <w:tcPr>
            <w:tcW w:w="1779" w:type="pct"/>
            <w:vMerge w:val="continue"/>
            <w:vAlign w:val="center"/>
          </w:tcPr>
          <w:p>
            <w:pPr>
              <w:rPr>
                <w:rFonts w:ascii="仿宋_GB2312" w:hAnsi="Times New Roman" w:eastAsia="仿宋_GB2312" w:cs="Times New Roman"/>
                <w:sz w:val="24"/>
              </w:rPr>
            </w:pPr>
          </w:p>
        </w:tc>
        <w:tc>
          <w:tcPr>
            <w:tcW w:w="485" w:type="pct"/>
          </w:tcPr>
          <w:p>
            <w:pPr>
              <w:jc w:val="left"/>
              <w:rPr>
                <w:rFonts w:ascii="仿宋_GB2312" w:hAnsi="Times New Roman" w:eastAsia="仿宋_GB2312" w:cs="Times New Roman"/>
                <w:sz w:val="24"/>
              </w:rPr>
            </w:pPr>
            <w:r>
              <w:rPr>
                <w:rFonts w:ascii="仿宋_GB2312" w:hAnsi="Times New Roman" w:eastAsia="仿宋_GB2312" w:cs="Times New Roman"/>
                <w:sz w:val="24"/>
              </w:rPr>
              <w:t>3201</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专用基金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66" w:type="pct"/>
            <w:gridSpan w:val="2"/>
            <w:vMerge w:val="continue"/>
            <w:vAlign w:val="center"/>
          </w:tcPr>
          <w:p>
            <w:pPr>
              <w:jc w:val="center"/>
              <w:rPr>
                <w:rFonts w:ascii="仿宋_GB2312" w:hAnsi="Times New Roman" w:eastAsia="仿宋_GB2312" w:cs="Times New Roman"/>
                <w:sz w:val="24"/>
              </w:rPr>
            </w:pPr>
          </w:p>
        </w:tc>
        <w:tc>
          <w:tcPr>
            <w:tcW w:w="647" w:type="pct"/>
            <w:gridSpan w:val="2"/>
            <w:vMerge w:val="continue"/>
            <w:vAlign w:val="center"/>
          </w:tcPr>
          <w:p>
            <w:pPr>
              <w:rPr>
                <w:rFonts w:ascii="仿宋_GB2312" w:hAnsi="Times New Roman" w:eastAsia="仿宋_GB2312" w:cs="Times New Roman"/>
                <w:sz w:val="24"/>
              </w:rPr>
            </w:pPr>
          </w:p>
        </w:tc>
        <w:tc>
          <w:tcPr>
            <w:tcW w:w="1779" w:type="pct"/>
            <w:vMerge w:val="continue"/>
            <w:vAlign w:val="center"/>
          </w:tcPr>
          <w:p>
            <w:pPr>
              <w:rPr>
                <w:rFonts w:ascii="仿宋_GB2312" w:hAnsi="Times New Roman" w:eastAsia="仿宋_GB2312" w:cs="Times New Roman"/>
                <w:sz w:val="24"/>
              </w:rPr>
            </w:pPr>
          </w:p>
        </w:tc>
        <w:tc>
          <w:tcPr>
            <w:tcW w:w="485" w:type="pct"/>
          </w:tcPr>
          <w:p>
            <w:pPr>
              <w:jc w:val="left"/>
              <w:rPr>
                <w:rFonts w:ascii="仿宋_GB2312" w:hAnsi="Times New Roman" w:eastAsia="仿宋_GB2312" w:cs="Times New Roman"/>
                <w:sz w:val="24"/>
              </w:rPr>
            </w:pPr>
            <w:r>
              <w:rPr>
                <w:rFonts w:ascii="仿宋_GB2312" w:hAnsi="Times New Roman" w:eastAsia="仿宋_GB2312" w:cs="Times New Roman"/>
                <w:sz w:val="24"/>
              </w:rPr>
              <w:t>3403</w:t>
            </w:r>
          </w:p>
        </w:tc>
        <w:tc>
          <w:tcPr>
            <w:tcW w:w="1623" w:type="pct"/>
            <w:vAlign w:val="center"/>
          </w:tcPr>
          <w:p>
            <w:pPr>
              <w:rPr>
                <w:rFonts w:ascii="仿宋_GB2312" w:hAnsi="Times New Roman" w:eastAsia="仿宋_GB2312" w:cs="Times New Roman"/>
                <w:sz w:val="24"/>
              </w:rPr>
            </w:pPr>
            <w:r>
              <w:rPr>
                <w:rFonts w:hint="eastAsia" w:ascii="仿宋_GB2312" w:hAnsi="Times New Roman" w:eastAsia="仿宋_GB2312" w:cs="Times New Roman"/>
                <w:sz w:val="24"/>
              </w:rPr>
              <w:t>经营结余</w:t>
            </w:r>
          </w:p>
        </w:tc>
      </w:tr>
    </w:tbl>
    <w:p>
      <w:pPr>
        <w:widowControl/>
        <w:jc w:val="left"/>
        <w:rPr>
          <w:rFonts w:ascii="仿宋" w:hAnsi="仿宋" w:eastAsia="仿宋" w:cs="Times New Roman"/>
          <w:sz w:val="32"/>
          <w:szCs w:val="32"/>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r>
        <w:rPr>
          <w:rFonts w:hint="eastAsia" w:ascii="方正小标宋简体" w:hAnsi="方正仿宋简体" w:eastAsia="方正小标宋简体" w:cs="方正仿宋简体"/>
          <w:sz w:val="40"/>
          <w:szCs w:val="40"/>
        </w:rPr>
        <w:t>(十二)信息化建设</w:t>
      </w: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jc w:val="center"/>
        <w:rPr>
          <w:rFonts w:ascii="方正小标宋简体" w:hAnsi="方正仿宋简体" w:eastAsia="方正小标宋简体" w:cs="方正仿宋简体"/>
          <w:sz w:val="40"/>
          <w:szCs w:val="40"/>
        </w:rPr>
      </w:pPr>
    </w:p>
    <w:p>
      <w:pPr>
        <w:pStyle w:val="2"/>
        <w:spacing w:line="2172" w:lineRule="exact"/>
        <w:jc w:val="center"/>
        <w:rPr>
          <w:sz w:val="130"/>
          <w:szCs w:val="130"/>
        </w:rPr>
      </w:pPr>
      <w:r>
        <w:rPr>
          <w:color w:val="FF0000"/>
          <w:w w:val="70"/>
          <w:sz w:val="130"/>
          <w:szCs w:val="130"/>
        </w:rPr>
        <w:t>山东省财政厅文件</w:t>
      </w:r>
    </w:p>
    <w:p>
      <w:pPr>
        <w:ind w:right="167"/>
        <w:jc w:val="center"/>
        <w:rPr>
          <w:rFonts w:ascii="宋体" w:eastAsia="宋体"/>
          <w:sz w:val="32"/>
        </w:rPr>
      </w:pPr>
      <w:r>
        <w:rPr>
          <w:rFonts w:hint="eastAsia" w:ascii="宋体" w:eastAsia="宋体"/>
          <w:sz w:val="32"/>
        </w:rPr>
        <w:t>鲁财资〔2015〕45 号</w:t>
      </w:r>
    </w:p>
    <w:p>
      <w:pPr>
        <w:pStyle w:val="6"/>
        <w:rPr>
          <w:rFonts w:ascii="宋体"/>
          <w:sz w:val="9"/>
        </w:rPr>
      </w:pPr>
      <w:r>
        <w:pict>
          <v:line id="_x0000_s1028" o:spid="_x0000_s1028" o:spt="20" style="position:absolute;left:0pt;margin-left:81.8pt;margin-top:9.1pt;height:0pt;width:446.2pt;mso-position-horizontal-relative:page;mso-wrap-distance-bottom:0pt;mso-wrap-distance-top:0pt;z-index:-251635712;mso-width-relative:page;mso-height-relative:page;" stroked="t" coordsize="21600,21600" o:gfxdata="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0AHIw1gAAAAoBAAAPAAAAAAAAAAEAIAAAACIAAABkcnMvZG93bnJldi54bWxQ&#10;SwECFAAUAAAACACHTuJAvNzQDPkBAADnAwAADgAAAAAAAAABACAAAAAlAQAAZHJzL2Uyb0RvYy54&#10;bWxQSwUGAAAAAAYABgBZAQAAkAUAAAAA&#10;">
            <v:path arrowok="t"/>
            <v:fill focussize="0,0"/>
            <v:stroke weight="2.25pt" color="#FF0000"/>
            <v:imagedata o:title=""/>
            <o:lock v:ext="edit"/>
            <w10:wrap type="topAndBottom"/>
          </v:line>
        </w:pict>
      </w:r>
    </w:p>
    <w:p>
      <w:pPr>
        <w:ind w:right="5"/>
        <w:jc w:val="center"/>
        <w:rPr>
          <w:rFonts w:ascii="宋体"/>
          <w:sz w:val="32"/>
        </w:rPr>
      </w:pPr>
      <w:r>
        <w:rPr>
          <w:rFonts w:ascii="宋体"/>
          <w:w w:val="99"/>
          <w:sz w:val="32"/>
        </w:rPr>
        <w:t xml:space="preserve"> </w:t>
      </w:r>
    </w:p>
    <w:p>
      <w:pPr>
        <w:spacing w:line="393" w:lineRule="exact"/>
        <w:ind w:right="5"/>
        <w:jc w:val="center"/>
        <w:rPr>
          <w:rFonts w:ascii="宋体"/>
          <w:sz w:val="32"/>
        </w:rPr>
      </w:pPr>
      <w:r>
        <w:rPr>
          <w:rFonts w:ascii="宋体"/>
          <w:w w:val="99"/>
          <w:sz w:val="32"/>
        </w:rPr>
        <w:t xml:space="preserve"> </w:t>
      </w:r>
    </w:p>
    <w:p>
      <w:pPr>
        <w:spacing w:line="570" w:lineRule="exact"/>
        <w:jc w:val="center"/>
        <w:rPr>
          <w:rFonts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关于进一步做好全省资产信息动态化管理工作的通知</w:t>
      </w:r>
    </w:p>
    <w:p>
      <w:pPr>
        <w:spacing w:line="400" w:lineRule="exact"/>
        <w:ind w:right="5"/>
        <w:jc w:val="center"/>
        <w:rPr>
          <w:rFonts w:ascii="宋体"/>
          <w:sz w:val="26"/>
          <w:szCs w:val="26"/>
        </w:rPr>
      </w:pPr>
      <w:r>
        <w:rPr>
          <w:rFonts w:ascii="宋体"/>
          <w:w w:val="99"/>
          <w:sz w:val="26"/>
          <w:szCs w:val="26"/>
        </w:rPr>
        <w:t xml:space="preserve"> </w:t>
      </w:r>
    </w:p>
    <w:p>
      <w:pPr>
        <w:pStyle w:val="6"/>
        <w:spacing w:line="400" w:lineRule="exact"/>
        <w:rPr>
          <w:bCs/>
          <w:iCs/>
          <w:sz w:val="26"/>
          <w:szCs w:val="26"/>
        </w:rPr>
      </w:pPr>
      <w:r>
        <w:rPr>
          <w:rFonts w:hint="eastAsia"/>
          <w:bCs/>
          <w:iCs/>
          <w:sz w:val="26"/>
          <w:szCs w:val="26"/>
        </w:rPr>
        <w:t>各市财政局，省直各部门、单位：</w:t>
      </w:r>
    </w:p>
    <w:p>
      <w:pPr>
        <w:pStyle w:val="6"/>
        <w:spacing w:line="400" w:lineRule="exact"/>
        <w:ind w:firstLine="520" w:firstLineChars="200"/>
        <w:rPr>
          <w:bCs/>
          <w:iCs/>
          <w:sz w:val="26"/>
          <w:szCs w:val="26"/>
        </w:rPr>
      </w:pPr>
      <w:r>
        <w:rPr>
          <w:rFonts w:hint="eastAsia"/>
          <w:bCs/>
          <w:iCs/>
          <w:sz w:val="26"/>
          <w:szCs w:val="26"/>
        </w:rPr>
        <w:t>为进一步提高全省行政事业资产信息数据质量,强化资产管 理信息系统的应用，提高资产信息动态化管理水平，规范相关程序操作，更好地为深化财税改革提供技术支撑和数据支持，现就进一步做好资产信息动态化管理工作有关事项通知如下：</w:t>
      </w:r>
    </w:p>
    <w:p>
      <w:pPr>
        <w:pStyle w:val="6"/>
        <w:spacing w:line="400" w:lineRule="exact"/>
        <w:ind w:firstLine="520" w:firstLineChars="200"/>
        <w:rPr>
          <w:rFonts w:ascii="黑体" w:hAnsi="黑体" w:eastAsia="黑体"/>
          <w:bCs/>
          <w:iCs/>
          <w:sz w:val="26"/>
          <w:szCs w:val="26"/>
        </w:rPr>
      </w:pPr>
      <w:r>
        <w:rPr>
          <w:rFonts w:hint="eastAsia" w:ascii="黑体" w:hAnsi="黑体" w:eastAsia="黑体"/>
          <w:bCs/>
          <w:iCs/>
          <w:sz w:val="26"/>
          <w:szCs w:val="26"/>
        </w:rPr>
        <w:t>一、统一思想，提高对资产信息动态化管理重要性的认识</w:t>
      </w:r>
    </w:p>
    <w:p>
      <w:pPr>
        <w:pStyle w:val="6"/>
        <w:spacing w:line="400" w:lineRule="exact"/>
        <w:ind w:firstLine="520" w:firstLineChars="200"/>
        <w:rPr>
          <w:bCs/>
          <w:iCs/>
          <w:sz w:val="26"/>
          <w:szCs w:val="26"/>
        </w:rPr>
      </w:pPr>
      <w:r>
        <w:rPr>
          <w:rFonts w:hint="eastAsia"/>
          <w:bCs/>
          <w:iCs/>
          <w:sz w:val="26"/>
          <w:szCs w:val="26"/>
        </w:rPr>
        <w:t>党的十八届三中全会以来，中央对强化政府资产管理作出一系列重大部署，《中共中央关于全面深化改革若干重大问题的决定》明确提出“建立权责发生制的政府综合财务报告制度”，《国务院关于批准财政部权责发生制政府综合财务报告制度改革方案的通知》（国发〔2014〕63 号）强调“建立以编制和报告政府资产负债表、收入费用表等报表为核心的权责发生制政府综合财务报告制度”，将政府资产负债表的编报作为推动政府会计改革、推进国家治理体系和治理能力现代化的重要举措。行政事业资产是政府资产的重要组成部分，真实完整的资产信息是编制政府综合财务报告的基础保证，资产信息动态化管理是及时准确提供资产信息数据的关键所在。各级各部门要进一步提高思想认识，切实将资产信息动态化管理工作摆上重要议事日程，认真抓实抓好抓出成效。</w:t>
      </w:r>
    </w:p>
    <w:p>
      <w:pPr>
        <w:pStyle w:val="6"/>
        <w:spacing w:line="400" w:lineRule="exact"/>
        <w:ind w:firstLine="520" w:firstLineChars="200"/>
        <w:rPr>
          <w:rFonts w:ascii="黑体" w:hAnsi="黑体" w:eastAsia="黑体"/>
          <w:bCs/>
          <w:iCs/>
          <w:sz w:val="26"/>
          <w:szCs w:val="26"/>
        </w:rPr>
      </w:pPr>
      <w:r>
        <w:rPr>
          <w:rFonts w:hint="eastAsia" w:ascii="黑体" w:hAnsi="黑体" w:eastAsia="黑体"/>
          <w:bCs/>
          <w:iCs/>
          <w:sz w:val="26"/>
          <w:szCs w:val="26"/>
        </w:rPr>
        <w:t>二、夯实基础，保证数据信息质量</w:t>
      </w:r>
    </w:p>
    <w:p>
      <w:pPr>
        <w:pStyle w:val="6"/>
        <w:spacing w:line="400" w:lineRule="exact"/>
        <w:ind w:firstLine="520" w:firstLineChars="200"/>
        <w:rPr>
          <w:bCs/>
          <w:iCs/>
          <w:sz w:val="26"/>
          <w:szCs w:val="26"/>
        </w:rPr>
      </w:pPr>
      <w:r>
        <w:rPr>
          <w:rFonts w:hint="eastAsia"/>
          <w:bCs/>
          <w:iCs/>
          <w:sz w:val="26"/>
          <w:szCs w:val="26"/>
        </w:rPr>
        <w:t>“山东省行政事业资产管理信息系统”（以下简称“资产管理信息系统”）自 2009 年建设实施以来，在各级、各部门的共同努力下，取得明显成效，已成为开展资产配置、资产动态管理、资产处置、资产报表、产权登记等资产管理事项不可或缺的重要技术支撑平台，对固化行政事业国有资产管理流程、提高管理效率、推进管理创新发挥了重要作用。但在具体工作推进中，仍存在一些薄弱环节。比如，有的市县仅将资产管理信息系统作为资产数据统计汇总工具，没有充分发挥系统的管理功能；有的单位资产卡片信息不够全面，增减资产不及时更新系统数据；有的单位甚至不填制或不按规定填制资产卡片信息，仅报送资产年报数据，等等。这些问题反映出全省资产信息管理工作基础有待进一步夯实，数据信息质量有待进一步提高。为更好提升全省资产信息管理水平，要注重做好以下四个方面：</w:t>
      </w:r>
    </w:p>
    <w:p>
      <w:pPr>
        <w:pStyle w:val="6"/>
        <w:spacing w:line="400" w:lineRule="exact"/>
        <w:ind w:firstLine="520" w:firstLineChars="200"/>
        <w:rPr>
          <w:bCs/>
          <w:iCs/>
          <w:sz w:val="26"/>
          <w:szCs w:val="26"/>
        </w:rPr>
      </w:pPr>
      <w:r>
        <w:rPr>
          <w:rFonts w:hint="eastAsia"/>
          <w:bCs/>
          <w:iCs/>
          <w:sz w:val="26"/>
          <w:szCs w:val="26"/>
        </w:rPr>
        <w:t>（一）注重财务管理与资产管理相结合。资产管理是财务管理的重要组成部分，资产管理离不开财务管理的支持配合，同时，加强资产管理又有利于推动财务管理，二者密不可分。具体工作中，资产账与财务账要衔接一致，做到账账相符、账实相符，增减资产及时调整账务登记，切实提高资产管理和财务管理水平。</w:t>
      </w:r>
    </w:p>
    <w:p>
      <w:pPr>
        <w:pStyle w:val="6"/>
        <w:spacing w:line="400" w:lineRule="exact"/>
        <w:ind w:firstLine="520" w:firstLineChars="200"/>
        <w:rPr>
          <w:bCs/>
          <w:iCs/>
          <w:sz w:val="26"/>
          <w:szCs w:val="26"/>
        </w:rPr>
      </w:pPr>
      <w:r>
        <w:rPr>
          <w:rFonts w:hint="eastAsia"/>
          <w:bCs/>
          <w:iCs/>
          <w:sz w:val="26"/>
          <w:szCs w:val="26"/>
        </w:rPr>
        <w:t>（二）注重加强资产信息数据日常管理。建立资产定期清查盘点制度，认真梳理、核实资产管理信息系统基础数据信息，严格按照资产管理信息系统建设关于数据信息格式、类别等方面的填制要求，规范补充、完善资产卡片各项信息条目，确保每项资产信息完整准确、不重不漏、账实相符。</w:t>
      </w:r>
    </w:p>
    <w:p>
      <w:pPr>
        <w:pStyle w:val="6"/>
        <w:spacing w:line="400" w:lineRule="exact"/>
        <w:ind w:firstLine="520" w:firstLineChars="200"/>
        <w:rPr>
          <w:bCs/>
          <w:iCs/>
          <w:sz w:val="26"/>
          <w:szCs w:val="26"/>
        </w:rPr>
      </w:pPr>
      <w:r>
        <w:rPr>
          <w:rFonts w:hint="eastAsia"/>
          <w:bCs/>
          <w:iCs/>
          <w:sz w:val="26"/>
          <w:szCs w:val="26"/>
        </w:rPr>
        <w:t>（三）认真清理规范未在账资产。对单位自行建造的已交付使用但未办理竣工决算手续、政府集中管理等原因形成的未入账资产进行清理规范，由相关单位按制度规定、权属关系登记入账，纳入资产管理信息系统统一管理。目前，已交付使用但尚未办理竣工决算手续的自行建造固定资产，按照估计价值入账，待办理竣工决算确定实际成本后再进行调整；因政府集中管理而未入账的资产，如缺少实际资产价值数据，可由产权所有人按估计价值登记固定资产相关账目，完整资产信息。</w:t>
      </w:r>
    </w:p>
    <w:p>
      <w:pPr>
        <w:pStyle w:val="6"/>
        <w:spacing w:line="400" w:lineRule="exact"/>
        <w:ind w:firstLine="520" w:firstLineChars="200"/>
        <w:rPr>
          <w:bCs/>
          <w:iCs/>
          <w:sz w:val="26"/>
          <w:szCs w:val="26"/>
        </w:rPr>
      </w:pPr>
      <w:r>
        <w:rPr>
          <w:rFonts w:hint="eastAsia"/>
          <w:bCs/>
          <w:iCs/>
          <w:sz w:val="26"/>
          <w:szCs w:val="26"/>
        </w:rPr>
        <w:t>（四）注重将资产管理业务嵌入资产管理信息系统。要深化资产管理信息系统应用，逐步将资产管理事项全部纳入资产管理信息系统。同时，加强与资产相关联工作的衔接，如资产配置与政府采购，预算管理与资产管理等，做到资产数据信息相互可比、共享共用，资产相关工作配套联动、衔接顺畅。</w:t>
      </w:r>
    </w:p>
    <w:p>
      <w:pPr>
        <w:pStyle w:val="6"/>
        <w:spacing w:line="400" w:lineRule="exact"/>
        <w:ind w:firstLine="520" w:firstLineChars="200"/>
        <w:rPr>
          <w:rFonts w:ascii="黑体" w:hAnsi="黑体" w:eastAsia="黑体"/>
          <w:bCs/>
          <w:iCs/>
          <w:sz w:val="26"/>
          <w:szCs w:val="26"/>
        </w:rPr>
      </w:pPr>
      <w:r>
        <w:rPr>
          <w:rFonts w:hint="eastAsia" w:ascii="黑体" w:hAnsi="黑体" w:eastAsia="黑体"/>
          <w:bCs/>
          <w:iCs/>
          <w:sz w:val="26"/>
          <w:szCs w:val="26"/>
        </w:rPr>
        <w:t>三、动态管理，着力提高资产信息数据时效</w:t>
      </w:r>
    </w:p>
    <w:p>
      <w:pPr>
        <w:pStyle w:val="6"/>
        <w:spacing w:line="400" w:lineRule="exact"/>
        <w:ind w:firstLine="520" w:firstLineChars="200"/>
        <w:rPr>
          <w:bCs/>
          <w:iCs/>
          <w:sz w:val="26"/>
          <w:szCs w:val="26"/>
        </w:rPr>
      </w:pPr>
      <w:r>
        <w:rPr>
          <w:rFonts w:hint="eastAsia"/>
          <w:bCs/>
          <w:iCs/>
          <w:sz w:val="26"/>
          <w:szCs w:val="26"/>
        </w:rPr>
        <w:t>数据动态化管理是资产管理信息系统建设的基本目标，也是资产管理信息系统有别于传统管理方式的创新所在。各级财政部门、主管部门应按照资产管理信息系统建设要求，指导、督促行政事业单位规范内部资产管理业务流程，将资产增减、处置等日常管理事项及时录入资产管理信息系统，确保资产信息动态化管理。</w:t>
      </w:r>
    </w:p>
    <w:p>
      <w:pPr>
        <w:pStyle w:val="6"/>
        <w:spacing w:line="400" w:lineRule="exact"/>
        <w:ind w:firstLine="520" w:firstLineChars="200"/>
        <w:rPr>
          <w:bCs/>
          <w:iCs/>
          <w:sz w:val="26"/>
          <w:szCs w:val="26"/>
        </w:rPr>
      </w:pPr>
      <w:r>
        <w:rPr>
          <w:rFonts w:hint="eastAsia"/>
          <w:bCs/>
          <w:iCs/>
          <w:sz w:val="26"/>
          <w:szCs w:val="26"/>
        </w:rPr>
        <w:t>一要及时更新资产变动信息。各级行政事业单位发生资产增加事项时，运用资产管理信息系统的“资产增加”功能，规范录入新增资产卡片详细信息。除新增单位外，资产管理信息系统不再提供“资产数据导入”功能。发生资产处置事项时，运用资产管理信息系统的“资产减少”功能，按规定程序履行审批手续后， 核减资产信息。增减资产必须在日历年度内完成资产管理信息系统登记，系统中的“资产增加”和“资产减少”功能不再允许跨年度操作。</w:t>
      </w:r>
    </w:p>
    <w:p>
      <w:pPr>
        <w:pStyle w:val="6"/>
        <w:spacing w:line="400" w:lineRule="exact"/>
        <w:ind w:firstLine="520" w:firstLineChars="200"/>
        <w:rPr>
          <w:bCs/>
          <w:iCs/>
          <w:sz w:val="26"/>
          <w:szCs w:val="26"/>
        </w:rPr>
      </w:pPr>
      <w:r>
        <w:rPr>
          <w:rFonts w:hint="eastAsia"/>
          <w:bCs/>
          <w:iCs/>
          <w:sz w:val="26"/>
          <w:szCs w:val="26"/>
        </w:rPr>
        <w:t>二要及时报送资产信息数据。省财政厅组织开发了资产管理信息系统的相应功能模块软件。各级财政部门可通过系统生成固定格式的上报数据包，也可随时查看所属部门、单位资产变动情况。各市、县（市、区）财政局从今年 8 月份起，应于每月终了5 日内在资产管理信息系统中将所属单位的资产信息（含资产卡片信息），生成数据包，发送至省财政厅服务器。省级单位的资产信息实行每日更新，动态即时反映。</w:t>
      </w:r>
    </w:p>
    <w:p>
      <w:pPr>
        <w:pStyle w:val="6"/>
        <w:spacing w:line="400" w:lineRule="exact"/>
        <w:ind w:firstLine="520" w:firstLineChars="200"/>
        <w:rPr>
          <w:bCs/>
          <w:iCs/>
          <w:sz w:val="26"/>
          <w:szCs w:val="26"/>
        </w:rPr>
      </w:pPr>
      <w:r>
        <w:rPr>
          <w:rFonts w:hint="eastAsia"/>
          <w:bCs/>
          <w:iCs/>
          <w:sz w:val="26"/>
          <w:szCs w:val="26"/>
        </w:rPr>
        <w:t>三要加强资产信息上报的组织管理。各市财政部门对本级部门、单位和所辖各县（市、区）财政部门（含省财政直接管理县财政局）资产管理信息动态化监管工作负总责。各市财政部门要认真组织好本地区资产动态数据报送工作，高度重视资产信息数据的安全工作，确保系统服务器正常、安全运转。省财政厅将不定期通报各市财政部门资产动态数据报送情况。</w:t>
      </w:r>
    </w:p>
    <w:p>
      <w:pPr>
        <w:pStyle w:val="6"/>
        <w:spacing w:line="400" w:lineRule="exact"/>
        <w:ind w:firstLine="520" w:firstLineChars="200"/>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rPr>
          <w:bCs/>
          <w:iCs/>
          <w:sz w:val="26"/>
          <w:szCs w:val="26"/>
        </w:rPr>
      </w:pPr>
    </w:p>
    <w:p>
      <w:pPr>
        <w:pStyle w:val="6"/>
        <w:spacing w:line="400" w:lineRule="exact"/>
        <w:ind w:right="260" w:firstLine="3380" w:firstLineChars="1300"/>
        <w:jc w:val="right"/>
        <w:rPr>
          <w:bCs/>
          <w:iCs/>
          <w:sz w:val="26"/>
          <w:szCs w:val="26"/>
        </w:rPr>
      </w:pPr>
      <w:r>
        <w:rPr>
          <w:rFonts w:hint="eastAsia"/>
          <w:bCs/>
          <w:iCs/>
          <w:sz w:val="26"/>
          <w:szCs w:val="26"/>
        </w:rPr>
        <w:t>山东省财政厅</w:t>
      </w:r>
    </w:p>
    <w:p>
      <w:pPr>
        <w:pStyle w:val="6"/>
        <w:spacing w:line="400" w:lineRule="exact"/>
        <w:ind w:firstLine="3380" w:firstLineChars="1300"/>
        <w:jc w:val="right"/>
        <w:rPr>
          <w:bCs/>
          <w:iCs/>
          <w:sz w:val="26"/>
          <w:szCs w:val="26"/>
        </w:rPr>
      </w:pPr>
      <w:r>
        <w:rPr>
          <w:rFonts w:hint="eastAsia"/>
          <w:bCs/>
          <w:iCs/>
          <w:sz w:val="26"/>
          <w:szCs w:val="26"/>
        </w:rPr>
        <w:t>2015 年 7 月 19 日</w:t>
      </w:r>
    </w:p>
    <w:p>
      <w:pPr>
        <w:pStyle w:val="6"/>
        <w:spacing w:line="400" w:lineRule="exact"/>
        <w:ind w:firstLine="3380" w:firstLineChars="1300"/>
        <w:jc w:val="right"/>
        <w:rPr>
          <w:bCs/>
          <w:iCs/>
          <w:sz w:val="26"/>
          <w:szCs w:val="26"/>
        </w:rPr>
      </w:pPr>
    </w:p>
    <w:p>
      <w:pPr>
        <w:pStyle w:val="6"/>
        <w:spacing w:line="400" w:lineRule="exact"/>
        <w:ind w:firstLine="3640" w:firstLineChars="1300"/>
        <w:jc w:val="right"/>
        <w:rPr>
          <w:bCs/>
          <w:iCs/>
          <w:sz w:val="28"/>
          <w:szCs w:val="28"/>
        </w:rPr>
      </w:pPr>
    </w:p>
    <w:p>
      <w:pPr>
        <w:tabs>
          <w:tab w:val="left" w:pos="9140"/>
        </w:tabs>
        <w:ind w:left="111"/>
        <w:rPr>
          <w:rFonts w:ascii="方正小标宋简体" w:eastAsia="方正小标宋简体"/>
          <w:sz w:val="28"/>
        </w:rPr>
      </w:pPr>
      <w:r>
        <w:rPr>
          <w:rFonts w:hint="eastAsia" w:ascii="黑体" w:eastAsia="黑体"/>
          <w:sz w:val="28"/>
          <w:u w:val="single"/>
        </w:rPr>
        <w:t>信息公</w:t>
      </w:r>
      <w:r>
        <w:rPr>
          <w:rFonts w:hint="eastAsia" w:ascii="黑体" w:eastAsia="黑体"/>
          <w:spacing w:val="-3"/>
          <w:sz w:val="28"/>
          <w:u w:val="single"/>
        </w:rPr>
        <w:t>开</w:t>
      </w:r>
      <w:r>
        <w:rPr>
          <w:rFonts w:hint="eastAsia" w:ascii="黑体" w:eastAsia="黑体"/>
          <w:sz w:val="28"/>
          <w:u w:val="single"/>
        </w:rPr>
        <w:t>选</w:t>
      </w:r>
      <w:r>
        <w:rPr>
          <w:rFonts w:hint="eastAsia" w:ascii="黑体" w:eastAsia="黑体"/>
          <w:spacing w:val="-3"/>
          <w:sz w:val="28"/>
          <w:u w:val="single"/>
        </w:rPr>
        <w:t>项</w:t>
      </w:r>
      <w:r>
        <w:rPr>
          <w:rFonts w:hint="eastAsia" w:ascii="宋体" w:eastAsia="宋体"/>
          <w:sz w:val="28"/>
          <w:u w:val="single"/>
        </w:rPr>
        <w:t>:</w:t>
      </w:r>
      <w:r>
        <w:rPr>
          <w:rFonts w:hint="eastAsia" w:ascii="宋体" w:eastAsia="宋体"/>
          <w:spacing w:val="9"/>
          <w:sz w:val="28"/>
          <w:u w:val="single"/>
        </w:rPr>
        <w:t xml:space="preserve"> </w:t>
      </w:r>
      <w:r>
        <w:rPr>
          <w:rFonts w:hint="eastAsia" w:ascii="方正小标宋简体" w:eastAsia="方正小标宋简体"/>
          <w:spacing w:val="-3"/>
          <w:sz w:val="28"/>
          <w:u w:val="single"/>
        </w:rPr>
        <w:t>依</w:t>
      </w:r>
      <w:r>
        <w:rPr>
          <w:rFonts w:hint="eastAsia" w:ascii="方正小标宋简体" w:eastAsia="方正小标宋简体"/>
          <w:sz w:val="28"/>
          <w:u w:val="single"/>
        </w:rPr>
        <w:t>申请公开</w:t>
      </w:r>
      <w:r>
        <w:rPr>
          <w:rFonts w:hint="eastAsia" w:ascii="方正小标宋简体" w:eastAsia="方正小标宋简体"/>
          <w:sz w:val="28"/>
          <w:u w:val="single"/>
        </w:rPr>
        <w:tab/>
      </w:r>
    </w:p>
    <w:p>
      <w:pPr>
        <w:ind w:left="384"/>
        <w:rPr>
          <w:rFonts w:ascii="宋体" w:eastAsia="宋体"/>
          <w:sz w:val="28"/>
        </w:rPr>
      </w:pPr>
      <w:r>
        <w:rPr>
          <w:rFonts w:hint="eastAsia" w:ascii="宋体" w:eastAsia="宋体"/>
          <w:sz w:val="28"/>
        </w:rPr>
        <w:t>抄送：各省财政直接管理县（市）财政局。</w:t>
      </w:r>
    </w:p>
    <w:p>
      <w:pPr>
        <w:ind w:left="384"/>
        <w:rPr>
          <w:rFonts w:ascii="宋体" w:eastAsia="宋体"/>
          <w:sz w:val="28"/>
        </w:rPr>
      </w:pPr>
    </w:p>
    <w:p>
      <w:pPr>
        <w:tabs>
          <w:tab w:val="left" w:pos="5685"/>
          <w:tab w:val="left" w:pos="6126"/>
        </w:tabs>
        <w:ind w:left="384"/>
        <w:rPr>
          <w:rFonts w:ascii="宋体" w:eastAsia="宋体"/>
          <w:sz w:val="28"/>
        </w:rPr>
      </w:pPr>
      <w:r>
        <w:rPr>
          <w:rFonts w:hint="eastAsia" w:ascii="宋体" w:eastAsia="宋体"/>
          <w:sz w:val="28"/>
        </w:rPr>
        <w:t>山东省</w:t>
      </w:r>
      <w:r>
        <w:rPr>
          <w:rFonts w:hint="eastAsia" w:ascii="宋体" w:eastAsia="宋体"/>
          <w:spacing w:val="-3"/>
          <w:sz w:val="28"/>
        </w:rPr>
        <w:t>财</w:t>
      </w:r>
      <w:r>
        <w:rPr>
          <w:rFonts w:hint="eastAsia" w:ascii="宋体" w:eastAsia="宋体"/>
          <w:sz w:val="28"/>
        </w:rPr>
        <w:t>政厅</w:t>
      </w:r>
      <w:r>
        <w:rPr>
          <w:rFonts w:hint="eastAsia" w:ascii="宋体" w:eastAsia="宋体"/>
          <w:spacing w:val="-3"/>
          <w:sz w:val="28"/>
        </w:rPr>
        <w:t>办公</w:t>
      </w:r>
      <w:r>
        <w:rPr>
          <w:rFonts w:hint="eastAsia" w:ascii="宋体" w:eastAsia="宋体"/>
          <w:sz w:val="28"/>
        </w:rPr>
        <w:t>室</w:t>
      </w:r>
      <w:r>
        <w:rPr>
          <w:rFonts w:hint="eastAsia" w:ascii="宋体" w:eastAsia="宋体"/>
          <w:sz w:val="28"/>
        </w:rPr>
        <w:tab/>
      </w:r>
      <w:r>
        <w:rPr>
          <w:rFonts w:ascii="宋体" w:eastAsia="宋体"/>
          <w:sz w:val="28"/>
        </w:rPr>
        <w:tab/>
      </w:r>
      <w:r>
        <w:rPr>
          <w:rFonts w:hint="eastAsia" w:ascii="宋体" w:eastAsia="宋体"/>
          <w:sz w:val="28"/>
        </w:rPr>
        <w:t>2015</w:t>
      </w:r>
      <w:r>
        <w:rPr>
          <w:rFonts w:hint="eastAsia" w:ascii="宋体" w:eastAsia="宋体"/>
          <w:spacing w:val="-71"/>
          <w:sz w:val="28"/>
        </w:rPr>
        <w:t xml:space="preserve"> </w:t>
      </w:r>
      <w:r>
        <w:rPr>
          <w:rFonts w:hint="eastAsia" w:ascii="宋体" w:eastAsia="宋体"/>
          <w:sz w:val="28"/>
        </w:rPr>
        <w:t>年</w:t>
      </w:r>
      <w:r>
        <w:rPr>
          <w:rFonts w:hint="eastAsia" w:ascii="宋体" w:eastAsia="宋体"/>
          <w:spacing w:val="-71"/>
          <w:sz w:val="28"/>
        </w:rPr>
        <w:t xml:space="preserve"> </w:t>
      </w:r>
      <w:r>
        <w:rPr>
          <w:rFonts w:hint="eastAsia" w:ascii="宋体" w:eastAsia="宋体"/>
          <w:sz w:val="28"/>
        </w:rPr>
        <w:t>7</w:t>
      </w:r>
      <w:r>
        <w:rPr>
          <w:rFonts w:hint="eastAsia" w:ascii="宋体" w:eastAsia="宋体"/>
          <w:spacing w:val="-71"/>
          <w:sz w:val="28"/>
        </w:rPr>
        <w:t xml:space="preserve"> </w:t>
      </w:r>
      <w:r>
        <w:rPr>
          <w:rFonts w:hint="eastAsia" w:ascii="宋体" w:eastAsia="宋体"/>
          <w:sz w:val="28"/>
        </w:rPr>
        <w:t>月</w:t>
      </w:r>
      <w:r>
        <w:rPr>
          <w:rFonts w:hint="eastAsia" w:ascii="宋体" w:eastAsia="宋体"/>
          <w:spacing w:val="-71"/>
          <w:sz w:val="28"/>
        </w:rPr>
        <w:t xml:space="preserve"> </w:t>
      </w:r>
      <w:r>
        <w:rPr>
          <w:rFonts w:hint="eastAsia" w:ascii="宋体" w:eastAsia="宋体"/>
          <w:sz w:val="28"/>
        </w:rPr>
        <w:t>20</w:t>
      </w:r>
      <w:r>
        <w:rPr>
          <w:rFonts w:hint="eastAsia" w:ascii="宋体" w:eastAsia="宋体"/>
          <w:spacing w:val="-72"/>
          <w:sz w:val="28"/>
        </w:rPr>
        <w:t xml:space="preserve"> </w:t>
      </w:r>
      <w:r>
        <w:rPr>
          <w:rFonts w:hint="eastAsia" w:ascii="宋体" w:eastAsia="宋体"/>
          <w:sz w:val="28"/>
        </w:rPr>
        <w:t>日印发</w:t>
      </w:r>
    </w:p>
    <w:p>
      <w:pPr>
        <w:pStyle w:val="6"/>
        <w:spacing w:line="20" w:lineRule="exact"/>
        <w:rPr>
          <w:rFonts w:ascii="宋体"/>
          <w:sz w:val="2"/>
        </w:rPr>
        <w:sectPr>
          <w:pgSz w:w="11900" w:h="16838"/>
          <w:pgMar w:top="1417" w:right="1701" w:bottom="1417" w:left="1701" w:header="850" w:footer="850" w:gutter="0"/>
          <w:cols w:space="720" w:num="1"/>
          <w:docGrid w:type="lines" w:linePitch="366" w:charSpace="0"/>
        </w:sectPr>
      </w:pPr>
      <w:r>
        <w:pict>
          <v:line id="_x0000_s1027" o:spid="_x0000_s1027" o:spt="20" style="position:absolute;left:0pt;margin-left:74.15pt;margin-top:0.35pt;height:0pt;width:451.45pt;mso-position-horizontal-relative:page;mso-wrap-distance-bottom:0pt;mso-wrap-distance-top:0pt;z-index:-251634688;mso-width-relative:page;mso-height-relative:page;" coordsize="21600,21600" o:gfxdata="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SYfQdEAAAAGAQAADwAAAAAAAAABACAAAAAiAAAAZHJzL2Rvd25yZXYueG1sUEsBAhQAFAAA&#10;AAgAh07iQBg1k7v2AQAA5gMAAA4AAAAAAAAAAQAgAAAAIAEAAGRycy9lMm9Eb2MueG1sUEsFBgAA&#10;AAAGAAYAWQEAAIgFAAAAAA==&#10;">
            <v:path arrowok="t"/>
            <v:fill focussize="0,0"/>
            <v:stroke weight="0.5pt"/>
            <v:imagedata o:title=""/>
            <o:lock v:ext="edit"/>
            <w10:wrap type="topAndBottom"/>
          </v:line>
        </w:pict>
      </w:r>
    </w:p>
    <w:p>
      <w:pPr>
        <w:pStyle w:val="12"/>
        <w:shd w:val="clear" w:color="auto" w:fill="FFFFFF"/>
        <w:spacing w:before="0" w:beforeAutospacing="0" w:after="0" w:afterAutospacing="0" w:line="400" w:lineRule="exact"/>
        <w:jc w:val="both"/>
        <w:rPr>
          <w:rFonts w:ascii="方正仿宋简体" w:hAnsi="微软雅黑" w:eastAsia="方正仿宋简体"/>
          <w:color w:val="333333"/>
          <w:sz w:val="26"/>
          <w:szCs w:val="2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仿宋简体">
    <w:altName w:val="Arial Unicode MS"/>
    <w:panose1 w:val="02010601030101010101"/>
    <w:charset w:val="86"/>
    <w:family w:val="auto"/>
    <w:pitch w:val="default"/>
    <w:sig w:usb0="00000000" w:usb1="00000000" w:usb2="00000010" w:usb3="00000000" w:csb0="00040000" w:csb1="0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文星简大标宋">
    <w:altName w:val="微软雅黑"/>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roman"/>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4" o:spid="_x0000_s2054" o:spt="202" type="#_x0000_t202" style="position:absolute;left:0pt;margin-left:291.15pt;margin-top:781.2pt;height:12pt;width:12.95pt;mso-position-horizontal-relative:page;mso-position-vertical-relative:page;z-index:-251652096;mso-width-relative:page;mso-height-relative:page;" filled="f" stroked="f" coordsize="21600,21600" o:gfxdata="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PsZ69oAAAANAQAADwAAAAAAAAABACAAAAAiAAAAZHJz&#10;L2Rvd25yZXYueG1sUEsBAhQAFAAAAAgAh07iQNtgx13JAQAAjQMAAA4AAAAAAAAAAQAgAAAAKQEA&#10;AGRycy9lMm9Eb2MueG1sUEsFBgAAAAAGAAYAWQEAAGQFA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3" o:spid="_x0000_s2053" o:spt="202" type="#_x0000_t202" style="position:absolute;left:0pt;margin-top:793.95pt;height:14.55pt;width:20.55pt;mso-position-horizontal:center;mso-position-horizontal-relative:margin;mso-position-vertical-relative:page;z-index:251667456;mso-width-relative:page;mso-height-relative:page;" filled="f" stroked="f" coordsize="21600,21600" o:gfxdata="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eukw9cAAAAJAQAADwAAAAAAAAABACAAAAAiAAAAZHJzL2Rvd25yZXYueG1sUEsBAhQA&#10;FAAAAAgAh07iQChxEMe6AQAAcwMAAA4AAAAAAAAAAQAgAAAAJgEAAGRycy9lMm9Eb2MueG1sUEsF&#10;BgAAAAAGAAYAWQEAAFIFAAAAAA==&#10;">
          <v:path/>
          <v:fill on="f" focussize="0,0"/>
          <v:stroke on="f" joinstyle="miter"/>
          <v:imagedata o:title=""/>
          <o:lock v:ext="edit"/>
          <v:textbox inset="0mm,0mm,0mm,0mm">
            <w:txbxContent>
              <w:p>
                <w:pPr>
                  <w:spacing w:line="271" w:lineRule="exact"/>
                  <w:ind w:left="41"/>
                  <w:rPr>
                    <w:rFonts w:ascii="宋体"/>
                  </w:rPr>
                </w:pPr>
                <w:r>
                  <w:fldChar w:fldCharType="begin"/>
                </w:r>
                <w:r>
                  <w:rPr>
                    <w:rFonts w:ascii="宋体"/>
                  </w:rPr>
                  <w:instrText xml:space="preserve"> PAGE </w:instrText>
                </w:r>
                <w:r>
                  <w:fldChar w:fldCharType="separate"/>
                </w:r>
                <w:r>
                  <w:rPr>
                    <w:rFonts w:ascii="宋体"/>
                  </w:rPr>
                  <w:t>140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rPr>
        <w:rFonts w:ascii="方正仿宋简体" w:hAnsi="方正仿宋简体" w:eastAsia="方正仿宋简体" w:cs="方正仿宋简体"/>
        <w:sz w:val="2"/>
        <w:szCs w:val="30"/>
        <w:lang w:val="zh-CN" w:bidi="zh-CN"/>
      </w:rPr>
    </w:pPr>
    <w:r>
      <w:rPr>
        <w:rFonts w:ascii="方正仿宋简体" w:hAnsi="方正仿宋简体" w:eastAsia="方正仿宋简体" w:cs="方正仿宋简体"/>
        <w:sz w:val="2"/>
        <w:szCs w:val="30"/>
        <w:lang w:val="zh-CN" w:bidi="zh-CN"/>
      </w:rPr>
      <w:pict>
        <v:shape id="_x0000_s2052" o:spid="_x0000_s2052"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path/>
          <v:fill on="f" focussize="0,0"/>
          <v:stroke on="f" joinstyle="miter"/>
          <v:imagedata o:title=""/>
          <o:lock v:ext="edit"/>
          <v:textbox inset="0mm,0mm,0mm,0mm" style="mso-fit-shape-to-text:t;">
            <w:txbxContent>
              <w:p>
                <w:pPr>
                  <w:pStyle w:val="9"/>
                  <w:jc w:val="left"/>
                  <w:rPr>
                    <w:kern w:val="0"/>
                  </w:rPr>
                </w:pPr>
                <w:r>
                  <w:rPr>
                    <w:rFonts w:hint="eastAsia"/>
                    <w:kern w:val="0"/>
                  </w:rPr>
                  <w:fldChar w:fldCharType="begin"/>
                </w:r>
                <w:r>
                  <w:rPr>
                    <w:rFonts w:hint="eastAsia"/>
                    <w:kern w:val="0"/>
                  </w:rPr>
                  <w:instrText xml:space="preserve"> PAGE  \* MERGEFORMAT </w:instrText>
                </w:r>
                <w:r>
                  <w:rPr>
                    <w:rFonts w:hint="eastAsia"/>
                    <w:kern w:val="0"/>
                  </w:rPr>
                  <w:fldChar w:fldCharType="separate"/>
                </w:r>
                <w:r>
                  <w:rPr>
                    <w:kern w:val="0"/>
                  </w:rPr>
                  <w:t>143</w:t>
                </w:r>
                <w:r>
                  <w:rPr>
                    <w:rFonts w:hint="eastAsia"/>
                    <w:kern w:val="0"/>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rPr>
        <w:rFonts w:ascii="方正仿宋简体" w:hAnsi="方正仿宋简体" w:eastAsia="方正仿宋简体" w:cs="方正仿宋简体"/>
        <w:sz w:val="17"/>
        <w:szCs w:val="30"/>
        <w:lang w:val="zh-CN" w:bidi="zh-CN"/>
      </w:rPr>
    </w:pPr>
    <w:r>
      <w:rPr>
        <w:rFonts w:ascii="方正仿宋简体" w:hAnsi="方正仿宋简体" w:eastAsia="方正仿宋简体" w:cs="方正仿宋简体"/>
        <w:sz w:val="30"/>
        <w:szCs w:val="30"/>
        <w:lang w:val="zh-CN" w:bidi="zh-CN"/>
      </w:rPr>
      <w:pict>
        <v:shape id="_x0000_s2051" o:spid="_x0000_s2051" o:spt="202" type="#_x0000_t202" style="position:absolute;left:0pt;margin-top:793.95pt;height:14.55pt;width:20.5pt;mso-position-horizontal:center;mso-position-horizontal-relative:margin;mso-position-vertical-relative:page;z-index:251672576;mso-width-relative:page;mso-height-relative:page;" filled="f" stroked="f" coordsize="21600,21600" o:gfxdata="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TKjoNcAAAAJAQAADwAAAAAAAAABACAAAAAiAAAAZHJzL2Rvd25yZXYueG1sUEsBAhQA&#10;FAAAAAgAh07iQOIZIMW6AQAAcwMAAA4AAAAAAAAAAQAgAAAAJgEAAGRycy9lMm9Eb2MueG1sUEsF&#10;BgAAAAAGAAYAWQEAAFIFAAAAAA==&#10;">
          <v:path/>
          <v:fill on="f" focussize="0,0"/>
          <v:stroke on="f" joinstyle="miter"/>
          <v:imagedata o:title=""/>
          <o:lock v:ext="edit"/>
          <v:textbox inset="0mm,0mm,0mm,0mm">
            <w:txbxContent>
              <w:p>
                <w:pPr>
                  <w:autoSpaceDE w:val="0"/>
                  <w:autoSpaceDN w:val="0"/>
                  <w:spacing w:line="271" w:lineRule="exact"/>
                  <w:ind w:left="40"/>
                  <w:jc w:val="left"/>
                  <w:rPr>
                    <w:rFonts w:ascii="宋体" w:hAnsi="方正仿宋简体" w:eastAsia="方正仿宋简体" w:cs="方正仿宋简体"/>
                    <w:kern w:val="0"/>
                    <w:sz w:val="22"/>
                    <w:szCs w:val="22"/>
                    <w:lang w:val="zh-CN" w:bidi="zh-CN"/>
                  </w:rPr>
                </w:pPr>
                <w:r>
                  <w:rPr>
                    <w:rFonts w:ascii="方正仿宋简体" w:hAnsi="方正仿宋简体" w:eastAsia="方正仿宋简体" w:cs="方正仿宋简体"/>
                    <w:kern w:val="0"/>
                    <w:sz w:val="22"/>
                    <w:szCs w:val="22"/>
                    <w:lang w:val="zh-CN" w:bidi="zh-CN"/>
                  </w:rPr>
                  <w:fldChar w:fldCharType="begin"/>
                </w:r>
                <w:r>
                  <w:rPr>
                    <w:rFonts w:ascii="宋体" w:hAnsi="方正仿宋简体" w:eastAsia="方正仿宋简体" w:cs="方正仿宋简体"/>
                    <w:kern w:val="0"/>
                    <w:sz w:val="22"/>
                    <w:szCs w:val="22"/>
                    <w:lang w:val="zh-CN" w:bidi="zh-CN"/>
                  </w:rPr>
                  <w:instrText xml:space="preserve"> PAGE </w:instrText>
                </w:r>
                <w:r>
                  <w:rPr>
                    <w:rFonts w:ascii="方正仿宋简体" w:hAnsi="方正仿宋简体" w:eastAsia="方正仿宋简体" w:cs="方正仿宋简体"/>
                    <w:kern w:val="0"/>
                    <w:sz w:val="22"/>
                    <w:szCs w:val="22"/>
                    <w:lang w:val="zh-CN" w:bidi="zh-CN"/>
                  </w:rPr>
                  <w:fldChar w:fldCharType="separate"/>
                </w:r>
                <w:r>
                  <w:rPr>
                    <w:rFonts w:ascii="宋体" w:hAnsi="方正仿宋简体" w:eastAsia="方正仿宋简体" w:cs="方正仿宋简体"/>
                    <w:kern w:val="0"/>
                    <w:sz w:val="22"/>
                    <w:szCs w:val="22"/>
                    <w:lang w:val="zh-CN" w:bidi="zh-CN"/>
                  </w:rPr>
                  <w:t>199</w:t>
                </w:r>
                <w:r>
                  <w:rPr>
                    <w:rFonts w:ascii="方正仿宋简体" w:hAnsi="方正仿宋简体" w:eastAsia="方正仿宋简体" w:cs="方正仿宋简体"/>
                    <w:kern w:val="0"/>
                    <w:sz w:val="22"/>
                    <w:szCs w:val="22"/>
                    <w:lang w:val="zh-CN" w:bidi="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rPr>
        <w:rFonts w:ascii="方正仿宋简体" w:hAnsi="方正仿宋简体" w:eastAsia="方正仿宋简体" w:cs="方正仿宋简体"/>
        <w:sz w:val="2"/>
        <w:szCs w:val="30"/>
        <w:lang w:val="zh-CN" w:bidi="zh-CN"/>
      </w:rPr>
    </w:pPr>
    <w:r>
      <w:rPr>
        <w:rFonts w:ascii="方正仿宋简体" w:hAnsi="方正仿宋简体" w:eastAsia="方正仿宋简体" w:cs="方正仿宋简体"/>
        <w:sz w:val="2"/>
        <w:szCs w:val="30"/>
        <w:lang w:val="zh-CN" w:bidi="zh-CN"/>
      </w:rPr>
      <w:pict>
        <v:shape id="_x0000_s2050" o:spid="_x0000_s2050"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path/>
          <v:fill on="f" focussize="0,0"/>
          <v:stroke on="f" joinstyle="miter"/>
          <v:imagedata o:title=""/>
          <o:lock v:ext="edit"/>
          <v:textbox inset="0mm,0mm,0mm,0mm" style="mso-fit-shape-to-text:t;">
            <w:txbxContent>
              <w:p>
                <w:pPr>
                  <w:pStyle w:val="9"/>
                  <w:jc w:val="left"/>
                  <w:rPr>
                    <w:rFonts w:ascii="宋体" w:hAnsi="宋体" w:eastAsia="宋体" w:cs="宋体"/>
                    <w:kern w:val="0"/>
                    <w:sz w:val="21"/>
                    <w:szCs w:val="21"/>
                  </w:rPr>
                </w:pPr>
                <w:r>
                  <w:rPr>
                    <w:rFonts w:hint="eastAsia" w:ascii="宋体" w:hAnsi="宋体" w:eastAsia="宋体" w:cs="宋体"/>
                    <w:kern w:val="0"/>
                    <w:sz w:val="21"/>
                    <w:szCs w:val="21"/>
                  </w:rPr>
                  <w:fldChar w:fldCharType="begin"/>
                </w:r>
                <w:r>
                  <w:rPr>
                    <w:rFonts w:hint="eastAsia" w:ascii="宋体" w:hAnsi="宋体" w:eastAsia="宋体" w:cs="宋体"/>
                    <w:kern w:val="0"/>
                    <w:sz w:val="21"/>
                    <w:szCs w:val="21"/>
                  </w:rPr>
                  <w:instrText xml:space="preserve"> PAGE  \* MERGEFORMAT </w:instrText>
                </w:r>
                <w:r>
                  <w:rPr>
                    <w:rFonts w:hint="eastAsia" w:ascii="宋体" w:hAnsi="宋体" w:eastAsia="宋体" w:cs="宋体"/>
                    <w:kern w:val="0"/>
                    <w:sz w:val="21"/>
                    <w:szCs w:val="21"/>
                  </w:rPr>
                  <w:fldChar w:fldCharType="separate"/>
                </w:r>
                <w:r>
                  <w:rPr>
                    <w:rFonts w:ascii="宋体" w:hAnsi="宋体" w:eastAsia="宋体" w:cs="宋体"/>
                    <w:kern w:val="0"/>
                    <w:sz w:val="21"/>
                    <w:szCs w:val="21"/>
                  </w:rPr>
                  <w:t>307</w:t>
                </w:r>
                <w:r>
                  <w:rPr>
                    <w:rFonts w:hint="eastAsia" w:ascii="宋体" w:hAnsi="宋体" w:eastAsia="宋体" w:cs="宋体"/>
                    <w:kern w:val="0"/>
                    <w:sz w:val="21"/>
                    <w:szCs w:val="21"/>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49" o:spid="_x0000_s2049"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HLds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SHLdsoBAACbAwAADgAAAAAAAAABACAAAAAeAQAAZHJzL2Uyb0Rv&#10;Yy54bWxQSwUGAAAAAAYABgBZAQAAWgUAAAAA&#10;">
          <v:path/>
          <v:fill on="f" focussize="0,0"/>
          <v:stroke on="f" joinstyle="miter"/>
          <v:imagedata o:title=""/>
          <o:lock v:ext="edit"/>
          <v:textbox inset="0mm,0mm,0mm,0mm" style="mso-fit-shape-to-text:t;">
            <w:txbxContent>
              <w:p>
                <w:pPr>
                  <w:pStyle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315</w:t>
                </w:r>
                <w:r>
                  <w:rPr>
                    <w:rFonts w:hint="eastAsia" w:ascii="宋体" w:hAnsi="宋体" w:eastAsia="宋体" w:cs="宋体"/>
                    <w:sz w:val="21"/>
                    <w:szCs w:val="21"/>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文本框 48" o:spid="_x0000_s2062" o:spt="202" type="#_x0000_t202" style="position:absolute;left:0pt;margin-top:794pt;height:14.55pt;width:20.5pt;mso-position-horizontal:center;mso-position-horizontal-relative:margin;mso-position-vertical-relative:page;z-index:251678720;mso-width-relative:page;mso-height-relative:page;" filled="f" stroked="f" coordsize="21600,21600">
          <v:path/>
          <v:fill on="f" focussize="0,0"/>
          <v:stroke on="f" joinstyle="miter"/>
          <v:imagedata o:title=""/>
          <o:lock v:ext="edit"/>
          <v:textbox inset="0mm,0mm,0mm,0mm">
            <w:txbxContent>
              <w:p>
                <w:pPr>
                  <w:spacing w:line="271" w:lineRule="exact"/>
                  <w:ind w:left="40"/>
                  <w:rPr>
                    <w:rFonts w:ascii="宋体"/>
                  </w:rPr>
                </w:pPr>
                <w:r>
                  <w:fldChar w:fldCharType="begin"/>
                </w:r>
                <w:r>
                  <w:rPr>
                    <w:rFonts w:ascii="宋体"/>
                  </w:rPr>
                  <w:instrText xml:space="preserve"> PAGE </w:instrText>
                </w:r>
                <w:r>
                  <w:fldChar w:fldCharType="separate"/>
                </w:r>
                <w:r>
                  <w:rPr>
                    <w:rFonts w:ascii="宋体"/>
                  </w:rPr>
                  <w:t>418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1"/>
        <w:rPr>
          <w:rFonts w:asciiTheme="minorEastAsia" w:hAnsiTheme="minorEastAsia"/>
          <w:sz w:val="24"/>
        </w:rPr>
      </w:pPr>
      <w:r>
        <w:rPr>
          <w:rStyle w:val="20"/>
          <w:rFonts w:asciiTheme="minorEastAsia" w:hAnsiTheme="minorEastAsia"/>
          <w:sz w:val="24"/>
        </w:rPr>
        <w:footnoteRef/>
      </w:r>
      <w:r>
        <w:rPr>
          <w:rFonts w:hint="eastAsia" w:asciiTheme="minorEastAsia" w:hAnsiTheme="minorEastAsia"/>
          <w:sz w:val="21"/>
          <w:szCs w:val="21"/>
        </w:rPr>
        <w:t>本规定所指高等学校包括各级人民政府举办的全日制普通高等学校和成人高等学校。</w:t>
      </w:r>
    </w:p>
  </w:footnote>
  <w:footnote w:id="1">
    <w:p>
      <w:pPr>
        <w:pStyle w:val="11"/>
      </w:pPr>
      <w:r>
        <w:rPr>
          <w:rStyle w:val="20"/>
        </w:rPr>
        <w:footnoteRef/>
      </w:r>
      <w:r>
        <w:t xml:space="preserve"> </w:t>
      </w:r>
      <w:r>
        <w:rPr>
          <w:rFonts w:hint="eastAsia"/>
        </w:rPr>
        <w:t xml:space="preserve">本规定所称校内独立核算单位，是指高等学校内部不具有法人资格的独立核算单位或部门。本规定所称校内独立核算单位不同于新制度所称附属单位。新制度所称附属单位，是指高等学校下属的具有法人资格的独立核算单位。 </w:t>
      </w:r>
    </w:p>
  </w:footnote>
  <w:footnote w:id="2">
    <w:p>
      <w:pPr>
        <w:pStyle w:val="11"/>
      </w:pPr>
      <w:r>
        <w:rPr>
          <w:rStyle w:val="20"/>
        </w:rPr>
        <w:footnoteRef/>
      </w:r>
      <w:r>
        <w:t xml:space="preserve"> </w:t>
      </w:r>
      <w:r>
        <w:rPr>
          <w:rFonts w:hint="eastAsia"/>
        </w:rPr>
        <w:t xml:space="preserve">具有后勤保障职能的校内独立核算单位一般指校医院、食堂、水电暖中心、物业管理中心、宿舍管理中心等。 </w:t>
      </w:r>
    </w:p>
  </w:footnote>
  <w:footnote w:id="3">
    <w:p>
      <w:pPr>
        <w:pStyle w:val="11"/>
      </w:pPr>
      <w:r>
        <w:rPr>
          <w:rStyle w:val="20"/>
        </w:rPr>
        <w:footnoteRef/>
      </w:r>
      <w:r>
        <w:rPr>
          <w:rFonts w:hint="eastAsia" w:asciiTheme="minorEastAsia" w:hAnsiTheme="minorEastAsia"/>
          <w:sz w:val="21"/>
          <w:szCs w:val="21"/>
        </w:rPr>
        <w:t>本规定所指高等学校包括各级人民政府举办的全日制普通高等学校和成人高等学校。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40BE3"/>
    <w:multiLevelType w:val="singleLevel"/>
    <w:tmpl w:val="B2C40BE3"/>
    <w:lvl w:ilvl="0" w:tentative="0">
      <w:start w:val="1"/>
      <w:numFmt w:val="chineseCounting"/>
      <w:suff w:val="nothing"/>
      <w:lvlText w:val="%1、"/>
      <w:lvlJc w:val="left"/>
      <w:rPr>
        <w:rFonts w:hint="eastAsia"/>
      </w:rPr>
    </w:lvl>
  </w:abstractNum>
  <w:abstractNum w:abstractNumId="1">
    <w:nsid w:val="30E91A7C"/>
    <w:multiLevelType w:val="multilevel"/>
    <w:tmpl w:val="30E91A7C"/>
    <w:lvl w:ilvl="0" w:tentative="0">
      <w:start w:val="1"/>
      <w:numFmt w:val="japaneseCounting"/>
      <w:lvlText w:val="%1、"/>
      <w:lvlJc w:val="left"/>
      <w:pPr>
        <w:ind w:left="1360" w:hanging="720"/>
      </w:pPr>
      <w:rPr>
        <w:rFonts w:hint="eastAsia" w:ascii="黑体" w:hAnsi="Calibri" w:eastAsia="黑体"/>
        <w:color w:val="auto"/>
        <w:sz w:val="32"/>
      </w:rPr>
    </w:lvl>
    <w:lvl w:ilvl="1" w:tentative="0">
      <w:start w:val="1"/>
      <w:numFmt w:val="japaneseCounting"/>
      <w:lvlText w:val="（%2）"/>
      <w:lvlJc w:val="left"/>
      <w:pPr>
        <w:ind w:left="2140" w:hanging="1080"/>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37350F8B"/>
    <w:multiLevelType w:val="singleLevel"/>
    <w:tmpl w:val="37350F8B"/>
    <w:lvl w:ilvl="0" w:tentative="0">
      <w:start w:val="3"/>
      <w:numFmt w:val="decimal"/>
      <w:suff w:val="nothing"/>
      <w:lvlText w:val="（%1）"/>
      <w:lvlJc w:val="left"/>
    </w:lvl>
  </w:abstractNum>
  <w:abstractNum w:abstractNumId="3">
    <w:nsid w:val="47D36B03"/>
    <w:multiLevelType w:val="singleLevel"/>
    <w:tmpl w:val="47D36B03"/>
    <w:lvl w:ilvl="0" w:tentative="0">
      <w:start w:val="5"/>
      <w:numFmt w:val="chineseCounting"/>
      <w:suff w:val="nothing"/>
      <w:lvlText w:val="（%1）"/>
      <w:lvlJc w:val="left"/>
      <w:rPr>
        <w:rFonts w:hint="eastAsia"/>
      </w:rPr>
    </w:lvl>
  </w:abstractNum>
  <w:abstractNum w:abstractNumId="4">
    <w:nsid w:val="5603C43E"/>
    <w:multiLevelType w:val="singleLevel"/>
    <w:tmpl w:val="5603C43E"/>
    <w:lvl w:ilvl="0" w:tentative="0">
      <w:start w:val="1"/>
      <w:numFmt w:val="chineseCounting"/>
      <w:suff w:val="nothing"/>
      <w:lvlText w:val="%1、"/>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F92C2B"/>
    <w:rsid w:val="000F13F3"/>
    <w:rsid w:val="00141CD8"/>
    <w:rsid w:val="00150FA4"/>
    <w:rsid w:val="00155782"/>
    <w:rsid w:val="00171A84"/>
    <w:rsid w:val="00192CE7"/>
    <w:rsid w:val="002557D1"/>
    <w:rsid w:val="0027366B"/>
    <w:rsid w:val="002B3524"/>
    <w:rsid w:val="002B7261"/>
    <w:rsid w:val="0036325E"/>
    <w:rsid w:val="003D334A"/>
    <w:rsid w:val="004C24FC"/>
    <w:rsid w:val="004E09DA"/>
    <w:rsid w:val="005577F7"/>
    <w:rsid w:val="005A24B9"/>
    <w:rsid w:val="005F00F8"/>
    <w:rsid w:val="00636B8C"/>
    <w:rsid w:val="00642B82"/>
    <w:rsid w:val="00651827"/>
    <w:rsid w:val="006C21C0"/>
    <w:rsid w:val="006C3BE1"/>
    <w:rsid w:val="00723882"/>
    <w:rsid w:val="00802C32"/>
    <w:rsid w:val="0085320F"/>
    <w:rsid w:val="008A4FA4"/>
    <w:rsid w:val="008C1B46"/>
    <w:rsid w:val="008D03C4"/>
    <w:rsid w:val="009B608D"/>
    <w:rsid w:val="00A00F0D"/>
    <w:rsid w:val="00A33B8D"/>
    <w:rsid w:val="00AB4C74"/>
    <w:rsid w:val="00AE427E"/>
    <w:rsid w:val="00B02D35"/>
    <w:rsid w:val="00B130D8"/>
    <w:rsid w:val="00B36A74"/>
    <w:rsid w:val="00BA2BDB"/>
    <w:rsid w:val="00BB27F6"/>
    <w:rsid w:val="00BC5A26"/>
    <w:rsid w:val="00C236B5"/>
    <w:rsid w:val="00CA3A5A"/>
    <w:rsid w:val="00D5204C"/>
    <w:rsid w:val="00D63C6A"/>
    <w:rsid w:val="00DC147A"/>
    <w:rsid w:val="00E44216"/>
    <w:rsid w:val="00E66209"/>
    <w:rsid w:val="00E96BBC"/>
    <w:rsid w:val="00EC1EFF"/>
    <w:rsid w:val="00F92C2B"/>
    <w:rsid w:val="00F958BD"/>
    <w:rsid w:val="00FB6874"/>
    <w:rsid w:val="046C5A4B"/>
    <w:rsid w:val="086B74D7"/>
    <w:rsid w:val="1A793C38"/>
    <w:rsid w:val="24D268A5"/>
    <w:rsid w:val="4AC57142"/>
    <w:rsid w:val="63F913D6"/>
    <w:rsid w:val="69D15605"/>
    <w:rsid w:val="6A3C6405"/>
    <w:rsid w:val="6CE16526"/>
    <w:rsid w:val="6D557550"/>
    <w:rsid w:val="74F85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216"/>
      <w:outlineLvl w:val="0"/>
    </w:pPr>
    <w:rPr>
      <w:rFonts w:ascii="宋体" w:hAnsi="宋体" w:eastAsia="宋体" w:cs="宋体"/>
      <w:b/>
      <w:bCs/>
      <w:sz w:val="40"/>
      <w:szCs w:val="40"/>
    </w:rPr>
  </w:style>
  <w:style w:type="paragraph" w:styleId="3">
    <w:name w:val="heading 2"/>
    <w:basedOn w:val="1"/>
    <w:next w:val="1"/>
    <w:link w:val="31"/>
    <w:qFormat/>
    <w:uiPriority w:val="0"/>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7"/>
    <w:basedOn w:val="1"/>
    <w:next w:val="1"/>
    <w:qFormat/>
    <w:uiPriority w:val="1"/>
    <w:pPr>
      <w:jc w:val="center"/>
      <w:outlineLvl w:val="6"/>
    </w:pPr>
    <w:rPr>
      <w:rFonts w:ascii="方正小标宋简体" w:hAnsi="方正小标宋简体" w:eastAsia="方正小标宋简体" w:cs="方正小标宋简体"/>
      <w:b/>
      <w:bCs/>
      <w:sz w:val="36"/>
      <w:szCs w:val="36"/>
      <w:lang w:val="zh-CN" w:bidi="zh-CN"/>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5"/>
    <w:qFormat/>
    <w:uiPriority w:val="0"/>
    <w:pPr>
      <w:jc w:val="left"/>
    </w:pPr>
  </w:style>
  <w:style w:type="paragraph" w:styleId="6">
    <w:name w:val="Body Text"/>
    <w:basedOn w:val="1"/>
    <w:qFormat/>
    <w:uiPriority w:val="1"/>
    <w:pPr>
      <w:autoSpaceDE w:val="0"/>
      <w:autoSpaceDN w:val="0"/>
    </w:pPr>
    <w:rPr>
      <w:rFonts w:ascii="方正仿宋简体" w:hAnsi="方正仿宋简体" w:eastAsia="方正仿宋简体" w:cs="方正仿宋简体"/>
      <w:sz w:val="30"/>
      <w:szCs w:val="30"/>
      <w:lang w:val="zh-CN" w:bidi="zh-CN"/>
    </w:rPr>
  </w:style>
  <w:style w:type="paragraph" w:styleId="7">
    <w:name w:val="Date"/>
    <w:basedOn w:val="1"/>
    <w:next w:val="1"/>
    <w:link w:val="32"/>
    <w:uiPriority w:val="0"/>
    <w:pPr>
      <w:ind w:left="100" w:leftChars="2500"/>
    </w:pPr>
  </w:style>
  <w:style w:type="paragraph" w:styleId="8">
    <w:name w:val="Balloon Text"/>
    <w:basedOn w:val="1"/>
    <w:link w:val="30"/>
    <w:qFormat/>
    <w:uiPriority w:val="0"/>
    <w:rPr>
      <w:sz w:val="18"/>
      <w:szCs w:val="18"/>
    </w:rPr>
  </w:style>
  <w:style w:type="paragraph" w:styleId="9">
    <w:name w:val="footer"/>
    <w:basedOn w:val="1"/>
    <w:link w:val="38"/>
    <w:qFormat/>
    <w:uiPriority w:val="99"/>
    <w:pPr>
      <w:tabs>
        <w:tab w:val="center" w:pos="4153"/>
        <w:tab w:val="right" w:pos="8306"/>
      </w:tabs>
      <w:autoSpaceDE w:val="0"/>
      <w:autoSpaceDN w:val="0"/>
      <w:snapToGrid w:val="0"/>
    </w:pPr>
    <w:rPr>
      <w:rFonts w:ascii="方正仿宋简体" w:hAnsi="方正仿宋简体" w:eastAsia="方正仿宋简体" w:cs="方正仿宋简体"/>
      <w:sz w:val="18"/>
      <w:szCs w:val="18"/>
      <w:lang w:val="zh-CN" w:bidi="zh-CN"/>
    </w:rPr>
  </w:style>
  <w:style w:type="paragraph" w:styleId="10">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1">
    <w:name w:val="footnote text"/>
    <w:basedOn w:val="1"/>
    <w:link w:val="37"/>
    <w:qFormat/>
    <w:uiPriority w:val="0"/>
    <w:pPr>
      <w:snapToGrid w:val="0"/>
      <w:jc w:val="left"/>
    </w:pPr>
    <w:rPr>
      <w:sz w:val="18"/>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3">
    <w:name w:val="annotation subject"/>
    <w:basedOn w:val="5"/>
    <w:next w:val="5"/>
    <w:link w:val="36"/>
    <w:qFormat/>
    <w:uiPriority w:val="0"/>
    <w:rPr>
      <w:b/>
      <w:bCs/>
    </w:rPr>
  </w:style>
  <w:style w:type="table" w:styleId="15">
    <w:name w:val="Table Grid"/>
    <w:basedOn w:val="14"/>
    <w:qFormat/>
    <w:uiPriority w:val="5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page number"/>
    <w:basedOn w:val="16"/>
    <w:qFormat/>
    <w:uiPriority w:val="0"/>
    <w:rPr>
      <w:rFonts w:cs="Times New Roman"/>
    </w:rPr>
  </w:style>
  <w:style w:type="character" w:styleId="19">
    <w:name w:val="annotation reference"/>
    <w:basedOn w:val="16"/>
    <w:qFormat/>
    <w:uiPriority w:val="0"/>
    <w:rPr>
      <w:sz w:val="21"/>
      <w:szCs w:val="21"/>
    </w:rPr>
  </w:style>
  <w:style w:type="character" w:styleId="20">
    <w:name w:val="footnote reference"/>
    <w:basedOn w:val="16"/>
    <w:qFormat/>
    <w:uiPriority w:val="0"/>
    <w:rPr>
      <w:vertAlign w:val="superscript"/>
    </w:rPr>
  </w:style>
  <w:style w:type="character" w:customStyle="1" w:styleId="21">
    <w:name w:val="bjh-p"/>
    <w:basedOn w:val="16"/>
    <w:uiPriority w:val="0"/>
  </w:style>
  <w:style w:type="paragraph" w:customStyle="1" w:styleId="22">
    <w:name w:val="Heading #1|1"/>
    <w:basedOn w:val="1"/>
    <w:qFormat/>
    <w:uiPriority w:val="0"/>
    <w:pPr>
      <w:spacing w:before="1660" w:after="720"/>
      <w:ind w:firstLine="740"/>
      <w:outlineLvl w:val="0"/>
    </w:pPr>
    <w:rPr>
      <w:rFonts w:ascii="宋体" w:hAnsi="宋体" w:eastAsia="宋体" w:cs="宋体"/>
      <w:color w:val="000000"/>
      <w:sz w:val="86"/>
      <w:szCs w:val="86"/>
    </w:rPr>
  </w:style>
  <w:style w:type="paragraph" w:customStyle="1" w:styleId="23">
    <w:name w:val="Body text|1"/>
    <w:qFormat/>
    <w:uiPriority w:val="0"/>
    <w:pPr>
      <w:widowControl w:val="0"/>
      <w:spacing w:line="480" w:lineRule="auto"/>
      <w:ind w:firstLine="400"/>
    </w:pPr>
    <w:rPr>
      <w:rFonts w:ascii="宋体" w:hAnsi="宋体" w:eastAsia="宋体" w:cs="宋体"/>
      <w:color w:val="000000"/>
      <w:sz w:val="26"/>
      <w:szCs w:val="26"/>
      <w:lang w:val="en-US" w:eastAsia="zh-CN" w:bidi="ar-SA"/>
    </w:rPr>
  </w:style>
  <w:style w:type="paragraph" w:customStyle="1" w:styleId="24">
    <w:name w:val="Heading #3|1"/>
    <w:qFormat/>
    <w:uiPriority w:val="0"/>
    <w:pPr>
      <w:widowControl w:val="0"/>
      <w:spacing w:after="530" w:line="624" w:lineRule="exact"/>
      <w:jc w:val="center"/>
      <w:outlineLvl w:val="2"/>
    </w:pPr>
    <w:rPr>
      <w:rFonts w:ascii="宋体" w:hAnsi="宋体" w:eastAsia="宋体" w:cs="宋体"/>
      <w:color w:val="000000"/>
      <w:sz w:val="42"/>
      <w:szCs w:val="42"/>
      <w:lang w:val="en-US" w:eastAsia="zh-CN" w:bidi="ar-SA"/>
    </w:rPr>
  </w:style>
  <w:style w:type="paragraph" w:customStyle="1" w:styleId="25">
    <w:name w:val="Table Paragraph"/>
    <w:basedOn w:val="1"/>
    <w:qFormat/>
    <w:uiPriority w:val="1"/>
    <w:rPr>
      <w:rFonts w:ascii="黑体" w:hAnsi="黑体" w:eastAsia="黑体" w:cs="黑体"/>
    </w:rPr>
  </w:style>
  <w:style w:type="paragraph" w:styleId="26">
    <w:name w:val="List Paragraph"/>
    <w:basedOn w:val="1"/>
    <w:qFormat/>
    <w:uiPriority w:val="1"/>
    <w:pPr>
      <w:spacing w:before="43"/>
      <w:ind w:left="873" w:hanging="334"/>
    </w:pPr>
    <w:rPr>
      <w:rFonts w:ascii="宋体" w:hAnsi="宋体" w:eastAsia="宋体" w:cs="宋体"/>
    </w:rPr>
  </w:style>
  <w:style w:type="paragraph" w:customStyle="1" w:styleId="27">
    <w:name w:val="Heading #2|1"/>
    <w:qFormat/>
    <w:uiPriority w:val="0"/>
    <w:pPr>
      <w:widowControl w:val="0"/>
      <w:spacing w:after="580" w:line="698" w:lineRule="exact"/>
      <w:jc w:val="center"/>
      <w:outlineLvl w:val="1"/>
    </w:pPr>
    <w:rPr>
      <w:rFonts w:ascii="宋体" w:hAnsi="宋体" w:eastAsia="宋体" w:cs="宋体"/>
      <w:color w:val="000000"/>
      <w:sz w:val="40"/>
      <w:szCs w:val="40"/>
      <w:lang w:val="en-US" w:eastAsia="zh-CN" w:bidi="ar-SA"/>
    </w:rPr>
  </w:style>
  <w:style w:type="paragraph" w:customStyle="1" w:styleId="28">
    <w:name w:val="Body text|3"/>
    <w:qFormat/>
    <w:uiPriority w:val="0"/>
    <w:pPr>
      <w:widowControl w:val="0"/>
      <w:spacing w:line="638" w:lineRule="exact"/>
      <w:ind w:firstLine="600"/>
    </w:pPr>
    <w:rPr>
      <w:rFonts w:ascii="宋体" w:hAnsi="宋体" w:eastAsia="宋体" w:cs="宋体"/>
      <w:color w:val="000000"/>
      <w:sz w:val="30"/>
      <w:szCs w:val="30"/>
      <w:lang w:val="en-US" w:eastAsia="zh-CN" w:bidi="ar-SA"/>
    </w:rPr>
  </w:style>
  <w:style w:type="paragraph" w:customStyle="1" w:styleId="29">
    <w:name w:val="Body text|2"/>
    <w:qFormat/>
    <w:uiPriority w:val="0"/>
    <w:pPr>
      <w:widowControl w:val="0"/>
      <w:spacing w:after="650"/>
      <w:ind w:right="660"/>
      <w:jc w:val="center"/>
    </w:pPr>
    <w:rPr>
      <w:rFonts w:ascii="Times New Roman" w:hAnsi="Times New Roman" w:eastAsia="宋体" w:cs="Times New Roman"/>
      <w:color w:val="000000"/>
      <w:sz w:val="28"/>
      <w:szCs w:val="28"/>
      <w:lang w:val="en-US" w:eastAsia="zh-CN" w:bidi="ar-SA"/>
    </w:rPr>
  </w:style>
  <w:style w:type="character" w:customStyle="1" w:styleId="30">
    <w:name w:val="批注框文本 Char"/>
    <w:basedOn w:val="16"/>
    <w:link w:val="8"/>
    <w:qFormat/>
    <w:uiPriority w:val="0"/>
    <w:rPr>
      <w:rFonts w:asciiTheme="minorHAnsi" w:hAnsiTheme="minorHAnsi" w:eastAsiaTheme="minorEastAsia" w:cstheme="minorBidi"/>
      <w:kern w:val="2"/>
      <w:sz w:val="18"/>
      <w:szCs w:val="18"/>
    </w:rPr>
  </w:style>
  <w:style w:type="character" w:customStyle="1" w:styleId="31">
    <w:name w:val="标题 2 Char"/>
    <w:basedOn w:val="16"/>
    <w:link w:val="3"/>
    <w:qFormat/>
    <w:uiPriority w:val="0"/>
    <w:rPr>
      <w:rFonts w:ascii="宋体" w:hAnsi="宋体" w:cs="宋体"/>
      <w:b/>
      <w:bCs/>
      <w:sz w:val="36"/>
      <w:szCs w:val="36"/>
    </w:rPr>
  </w:style>
  <w:style w:type="character" w:customStyle="1" w:styleId="32">
    <w:name w:val="日期 Char"/>
    <w:basedOn w:val="16"/>
    <w:link w:val="7"/>
    <w:uiPriority w:val="0"/>
    <w:rPr>
      <w:rFonts w:asciiTheme="minorHAnsi" w:hAnsiTheme="minorHAnsi" w:eastAsiaTheme="minorEastAsia" w:cstheme="minorBidi"/>
      <w:kern w:val="2"/>
      <w:sz w:val="21"/>
      <w:szCs w:val="24"/>
    </w:rPr>
  </w:style>
  <w:style w:type="character" w:customStyle="1" w:styleId="33">
    <w:name w:val="页眉 Char"/>
    <w:basedOn w:val="16"/>
    <w:link w:val="10"/>
    <w:qFormat/>
    <w:uiPriority w:val="0"/>
    <w:rPr>
      <w:rFonts w:asciiTheme="minorHAnsi" w:hAnsiTheme="minorHAnsi" w:eastAsiaTheme="minorEastAsia" w:cstheme="minorBidi"/>
      <w:kern w:val="2"/>
      <w:sz w:val="18"/>
      <w:szCs w:val="18"/>
    </w:rPr>
  </w:style>
  <w:style w:type="paragraph" w:customStyle="1" w:styleId="34">
    <w:name w:val="列出段落1"/>
    <w:basedOn w:val="1"/>
    <w:qFormat/>
    <w:uiPriority w:val="34"/>
    <w:pPr>
      <w:ind w:firstLine="420" w:firstLineChars="200"/>
    </w:pPr>
    <w:rPr>
      <w:rFonts w:ascii="Calibri" w:hAnsi="Calibri" w:eastAsia="宋体" w:cs="黑体"/>
      <w:szCs w:val="22"/>
    </w:rPr>
  </w:style>
  <w:style w:type="character" w:customStyle="1" w:styleId="35">
    <w:name w:val="批注文字 Char"/>
    <w:basedOn w:val="16"/>
    <w:link w:val="5"/>
    <w:qFormat/>
    <w:uiPriority w:val="0"/>
    <w:rPr>
      <w:rFonts w:asciiTheme="minorHAnsi" w:hAnsiTheme="minorHAnsi" w:eastAsiaTheme="minorEastAsia" w:cstheme="minorBidi"/>
      <w:kern w:val="2"/>
      <w:sz w:val="21"/>
      <w:szCs w:val="24"/>
    </w:rPr>
  </w:style>
  <w:style w:type="character" w:customStyle="1" w:styleId="36">
    <w:name w:val="批注主题 Char"/>
    <w:basedOn w:val="35"/>
    <w:link w:val="13"/>
    <w:qFormat/>
    <w:uiPriority w:val="0"/>
    <w:rPr>
      <w:b/>
      <w:bCs/>
    </w:rPr>
  </w:style>
  <w:style w:type="character" w:customStyle="1" w:styleId="37">
    <w:name w:val="脚注文本 Char"/>
    <w:basedOn w:val="16"/>
    <w:link w:val="11"/>
    <w:qFormat/>
    <w:uiPriority w:val="0"/>
    <w:rPr>
      <w:rFonts w:asciiTheme="minorHAnsi" w:hAnsiTheme="minorHAnsi" w:eastAsiaTheme="minorEastAsia" w:cstheme="minorBidi"/>
      <w:kern w:val="2"/>
      <w:sz w:val="18"/>
      <w:szCs w:val="24"/>
    </w:rPr>
  </w:style>
  <w:style w:type="character" w:customStyle="1" w:styleId="38">
    <w:name w:val="页脚 Char"/>
    <w:basedOn w:val="16"/>
    <w:link w:val="9"/>
    <w:qFormat/>
    <w:locked/>
    <w:uiPriority w:val="99"/>
    <w:rPr>
      <w:rFonts w:ascii="方正仿宋简体" w:hAnsi="方正仿宋简体" w:eastAsia="方正仿宋简体" w:cs="方正仿宋简体"/>
      <w:kern w:val="2"/>
      <w:sz w:val="18"/>
      <w:szCs w:val="18"/>
      <w:lang w:val="zh-CN" w:bidi="zh-CN"/>
    </w:rPr>
  </w:style>
  <w:style w:type="paragraph" w:customStyle="1" w:styleId="39">
    <w:name w:val="Revision"/>
    <w:hidden/>
    <w:unhideWhenUsed/>
    <w:qFormat/>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file:///C:\Users\ADMINI~1\AppData\Local\Temp\ksohtml8228\wps7.png" TargetMode="Externa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file:///C:\Users\ADMINI~1\AppData\Local\Temp\ksohtml8228\wps5.png" TargetMode="Externa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customShpInfo spid="_x0000_s2053"/>
    <customShpInfo spid="_x0000_s2052"/>
    <customShpInfo spid="_x0000_s2051"/>
    <customShpInfo spid="_x0000_s2050"/>
    <customShpInfo spid="_x0000_s2049"/>
    <customShpInfo spid="_x0000_s2062"/>
    <customShpInfo spid="_x0000_s1026"/>
    <customShpInfo spid="_x0000_s1043"/>
    <customShpInfo spid="_x0000_s1042"/>
    <customShpInfo spid="_x0000_s1041"/>
    <customShpInfo spid="_x0000_s1046"/>
    <customShpInfo spid="_x0000_s1049"/>
    <customShpInfo spid="_x0000_s1048"/>
    <customShpInfo spid="_x0000_s1047"/>
    <customShpInfo spid="_x0000_s1040"/>
    <customShpInfo spid="_x0000_s1051"/>
    <customShpInfo spid="_x0000_s1052"/>
    <customShpInfo spid="_x0000_s1054"/>
    <customShpInfo spid="_x0000_s1053"/>
    <customShpInfo spid="_x0000_s1039"/>
    <customShpInfo spid="_x0000_s1038"/>
    <customShpInfo spid="_x0000_s1037"/>
    <customShpInfo spid="_x0000_s1036"/>
    <customShpInfo spid="_x0000_s1035"/>
    <customShpInfo spid="_x0000_s1034"/>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541</Pages>
  <Words>328825</Words>
  <Characters>28152</Characters>
  <Lines>234</Lines>
  <Paragraphs>712</Paragraphs>
  <TotalTime>500</TotalTime>
  <ScaleCrop>false</ScaleCrop>
  <LinksUpToDate>false</LinksUpToDate>
  <CharactersWithSpaces>356265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2021-05-11T07:23:00Z</dcterms:created>
  <dc:creator>Administrator</dc:creator>
  <cp:lastModifiedBy>下班吧</cp:lastModifiedBy>
  <dcterms:modified xsi:type="dcterms:W3CDTF">2021-06-09T08:20:54Z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0_btnclosed</vt:lpwstr>
  </property>
  <property fmtid="{D5CDD505-2E9C-101B-9397-08002B2CF9AE}" pid="4" name="ICV">
    <vt:lpwstr>F5E85CC2B1F74C2C83C0D649BCD2786E</vt:lpwstr>
  </property>
</Properties>
</file>